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7" w:type="dxa"/>
        <w:tblLook w:val="01E0" w:firstRow="1" w:lastRow="1" w:firstColumn="1" w:lastColumn="1" w:noHBand="0" w:noVBand="0"/>
      </w:tblPr>
      <w:tblGrid>
        <w:gridCol w:w="3652"/>
        <w:gridCol w:w="6345"/>
      </w:tblGrid>
      <w:tr w:rsidR="0051698A" w:rsidRPr="00630218" w:rsidTr="007E6BEA">
        <w:trPr>
          <w:trHeight w:val="1135"/>
        </w:trPr>
        <w:tc>
          <w:tcPr>
            <w:tcW w:w="3652" w:type="dxa"/>
          </w:tcPr>
          <w:p w:rsidR="0051698A" w:rsidRPr="00630218" w:rsidRDefault="00B26188" w:rsidP="0051698A">
            <w:pPr>
              <w:spacing w:after="160" w:line="240" w:lineRule="auto"/>
              <w:ind w:left="-74" w:firstLine="74"/>
              <w:rPr>
                <w:sz w:val="2"/>
                <w:szCs w:val="2"/>
                <w:lang w:val="en-US"/>
              </w:rPr>
            </w:pPr>
            <w:r>
              <w:rPr>
                <w:noProof/>
                <w:lang w:val="uk-UA" w:eastAsia="uk-UA"/>
              </w:rPr>
              <w:drawing>
                <wp:anchor distT="0" distB="0" distL="114300" distR="114300" simplePos="0" relativeHeight="251657216" behindDoc="0" locked="0" layoutInCell="1" allowOverlap="1">
                  <wp:simplePos x="0" y="0"/>
                  <wp:positionH relativeFrom="column">
                    <wp:posOffset>611505</wp:posOffset>
                  </wp:positionH>
                  <wp:positionV relativeFrom="paragraph">
                    <wp:posOffset>12065</wp:posOffset>
                  </wp:positionV>
                  <wp:extent cx="698500" cy="698500"/>
                  <wp:effectExtent l="19050" t="0" r="6350" b="0"/>
                  <wp:wrapSquare wrapText="bothSides"/>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98500" cy="698500"/>
                          </a:xfrm>
                          <a:prstGeom prst="rect">
                            <a:avLst/>
                          </a:prstGeom>
                          <a:noFill/>
                          <a:ln w="9525">
                            <a:noFill/>
                            <a:miter lim="800000"/>
                            <a:headEnd/>
                            <a:tailEnd/>
                          </a:ln>
                        </pic:spPr>
                      </pic:pic>
                    </a:graphicData>
                  </a:graphic>
                </wp:anchor>
              </w:drawing>
            </w:r>
            <w:r w:rsidR="0051698A" w:rsidRPr="00630218">
              <w:rPr>
                <w:sz w:val="2"/>
                <w:szCs w:val="2"/>
                <w:lang w:val="en-US"/>
              </w:rPr>
              <w:t>````````````````</w:t>
            </w:r>
          </w:p>
        </w:tc>
        <w:tc>
          <w:tcPr>
            <w:tcW w:w="6345" w:type="dxa"/>
            <w:vMerge w:val="restart"/>
            <w:vAlign w:val="center"/>
          </w:tcPr>
          <w:p w:rsidR="0051698A" w:rsidRPr="00A406BE" w:rsidRDefault="0051698A" w:rsidP="0051698A">
            <w:pPr>
              <w:spacing w:after="160" w:line="240" w:lineRule="auto"/>
              <w:jc w:val="center"/>
              <w:rPr>
                <w:rFonts w:ascii="Verdana" w:hAnsi="Verdana" w:cs="Verdana"/>
                <w:color w:val="1F497D" w:themeColor="text2"/>
                <w:lang w:val="uk-UA"/>
              </w:rPr>
            </w:pPr>
            <w:r w:rsidRPr="00A406BE">
              <w:rPr>
                <w:rFonts w:ascii="Verdana" w:hAnsi="Verdana" w:cs="Verdana"/>
                <w:color w:val="1F497D" w:themeColor="text2"/>
                <w:sz w:val="52"/>
                <w:szCs w:val="52"/>
                <w:lang w:val="uk-UA"/>
              </w:rPr>
              <w:t>ЕКСПРЕС-ВИПУСК</w:t>
            </w:r>
          </w:p>
        </w:tc>
      </w:tr>
      <w:tr w:rsidR="0051698A" w:rsidRPr="00630218" w:rsidTr="007E6BEA">
        <w:trPr>
          <w:trHeight w:val="624"/>
        </w:trPr>
        <w:tc>
          <w:tcPr>
            <w:tcW w:w="3652" w:type="dxa"/>
            <w:vAlign w:val="center"/>
          </w:tcPr>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Держстат</w:t>
            </w:r>
          </w:p>
          <w:p w:rsidR="0051698A" w:rsidRPr="00A406BE" w:rsidRDefault="0051698A" w:rsidP="0051698A">
            <w:pPr>
              <w:spacing w:after="0" w:line="240" w:lineRule="auto"/>
              <w:ind w:left="-74" w:firstLine="74"/>
              <w:jc w:val="center"/>
              <w:rPr>
                <w:rFonts w:ascii="Verdana" w:hAnsi="Verdana" w:cs="Verdana"/>
                <w:b/>
                <w:bCs/>
                <w:color w:val="1F497D" w:themeColor="text2"/>
                <w:lang w:val="uk-UA" w:eastAsia="uk-UA"/>
              </w:rPr>
            </w:pPr>
            <w:r w:rsidRPr="00A406BE">
              <w:rPr>
                <w:rFonts w:ascii="Verdana" w:hAnsi="Verdana" w:cs="Verdana"/>
                <w:b/>
                <w:bCs/>
                <w:color w:val="1F497D" w:themeColor="text2"/>
                <w:lang w:val="uk-UA" w:eastAsia="uk-UA"/>
              </w:rPr>
              <w:t>Головне управління статистики</w:t>
            </w:r>
          </w:p>
          <w:p w:rsidR="0051698A" w:rsidRPr="00A406BE" w:rsidRDefault="0051698A" w:rsidP="0051698A">
            <w:pPr>
              <w:spacing w:after="0" w:line="240" w:lineRule="auto"/>
              <w:ind w:left="-74" w:firstLine="74"/>
              <w:jc w:val="center"/>
              <w:rPr>
                <w:b/>
                <w:bCs/>
                <w:color w:val="1F497D" w:themeColor="text2"/>
                <w:sz w:val="24"/>
                <w:szCs w:val="24"/>
                <w:lang w:val="uk-UA" w:eastAsia="uk-UA"/>
              </w:rPr>
            </w:pPr>
            <w:r w:rsidRPr="00A406BE">
              <w:rPr>
                <w:rFonts w:ascii="Verdana" w:hAnsi="Verdana" w:cs="Verdana"/>
                <w:b/>
                <w:bCs/>
                <w:color w:val="1F497D" w:themeColor="text2"/>
                <w:lang w:val="uk-UA" w:eastAsia="uk-UA"/>
              </w:rPr>
              <w:t>В Одеській області</w:t>
            </w:r>
          </w:p>
        </w:tc>
        <w:tc>
          <w:tcPr>
            <w:tcW w:w="6345" w:type="dxa"/>
            <w:vMerge/>
          </w:tcPr>
          <w:p w:rsidR="0051698A" w:rsidRPr="00630218" w:rsidRDefault="0051698A" w:rsidP="0051698A">
            <w:pPr>
              <w:spacing w:after="160" w:line="240" w:lineRule="auto"/>
              <w:jc w:val="center"/>
              <w:rPr>
                <w:sz w:val="52"/>
                <w:szCs w:val="52"/>
                <w:lang w:val="uk-UA"/>
              </w:rPr>
            </w:pPr>
          </w:p>
        </w:tc>
      </w:tr>
      <w:tr w:rsidR="0051698A" w:rsidRPr="00630218" w:rsidTr="007E6BEA">
        <w:trPr>
          <w:trHeight w:val="397"/>
        </w:trPr>
        <w:tc>
          <w:tcPr>
            <w:tcW w:w="3652" w:type="dxa"/>
            <w:vAlign w:val="center"/>
          </w:tcPr>
          <w:p w:rsidR="0051698A" w:rsidRPr="00A406BE" w:rsidRDefault="00A406BE" w:rsidP="0051698A">
            <w:pPr>
              <w:spacing w:after="160" w:line="240" w:lineRule="auto"/>
              <w:ind w:left="-74" w:firstLine="74"/>
              <w:jc w:val="center"/>
              <w:rPr>
                <w:rFonts w:ascii="Verdana" w:hAnsi="Verdana" w:cs="Verdana"/>
                <w:b/>
                <w:bCs/>
                <w:color w:val="1F497D" w:themeColor="text2"/>
                <w:sz w:val="20"/>
                <w:szCs w:val="20"/>
                <w:lang w:val="uk-UA" w:eastAsia="uk-UA"/>
              </w:rPr>
            </w:pPr>
            <w:hyperlink r:id="rId8" w:history="1">
              <w:r w:rsidR="0051698A" w:rsidRPr="00A406BE">
                <w:rPr>
                  <w:rFonts w:ascii="Verdana" w:hAnsi="Verdana" w:cs="Verdana"/>
                  <w:b/>
                  <w:bCs/>
                  <w:color w:val="1F497D" w:themeColor="text2"/>
                  <w:sz w:val="20"/>
                  <w:u w:val="single"/>
                  <w:lang w:val="uk-UA" w:eastAsia="uk-UA"/>
                </w:rPr>
                <w:t>www.od.ukrstat.gov.ua</w:t>
              </w:r>
            </w:hyperlink>
          </w:p>
        </w:tc>
        <w:tc>
          <w:tcPr>
            <w:tcW w:w="6345" w:type="dxa"/>
            <w:vAlign w:val="center"/>
          </w:tcPr>
          <w:p w:rsidR="0051698A" w:rsidRPr="00630218" w:rsidRDefault="0051698A" w:rsidP="0051698A">
            <w:pPr>
              <w:spacing w:after="160" w:line="240" w:lineRule="auto"/>
              <w:jc w:val="center"/>
              <w:rPr>
                <w:lang w:val="uk-UA"/>
              </w:rPr>
            </w:pPr>
          </w:p>
        </w:tc>
      </w:tr>
      <w:tr w:rsidR="0051698A" w:rsidRPr="00630218" w:rsidTr="007E6BEA">
        <w:trPr>
          <w:trHeight w:val="170"/>
        </w:trPr>
        <w:tc>
          <w:tcPr>
            <w:tcW w:w="3652" w:type="dxa"/>
            <w:shd w:val="clear" w:color="auto" w:fill="0066FF"/>
          </w:tcPr>
          <w:p w:rsidR="0051698A" w:rsidRPr="00630218" w:rsidRDefault="0051698A" w:rsidP="0051698A">
            <w:pPr>
              <w:spacing w:after="160" w:line="240" w:lineRule="auto"/>
              <w:ind w:left="-74" w:firstLine="74"/>
              <w:rPr>
                <w:sz w:val="12"/>
                <w:szCs w:val="12"/>
                <w:lang w:val="uk-UA"/>
              </w:rPr>
            </w:pPr>
          </w:p>
        </w:tc>
        <w:tc>
          <w:tcPr>
            <w:tcW w:w="6345" w:type="dxa"/>
            <w:shd w:val="clear" w:color="auto" w:fill="0066FF"/>
          </w:tcPr>
          <w:p w:rsidR="0051698A" w:rsidRPr="00630218" w:rsidRDefault="0051698A" w:rsidP="0051698A">
            <w:pPr>
              <w:spacing w:after="160" w:line="240" w:lineRule="auto"/>
              <w:rPr>
                <w:sz w:val="12"/>
                <w:szCs w:val="12"/>
                <w:lang w:val="uk-UA"/>
              </w:rPr>
            </w:pPr>
          </w:p>
        </w:tc>
      </w:tr>
      <w:tr w:rsidR="0051698A" w:rsidRPr="00630218" w:rsidTr="007E6BEA">
        <w:trPr>
          <w:trHeight w:val="170"/>
        </w:trPr>
        <w:tc>
          <w:tcPr>
            <w:tcW w:w="3652" w:type="dxa"/>
            <w:shd w:val="clear" w:color="auto" w:fill="FFFF00"/>
          </w:tcPr>
          <w:p w:rsidR="0051698A" w:rsidRPr="00630218" w:rsidRDefault="0051698A" w:rsidP="0051698A">
            <w:pPr>
              <w:spacing w:after="160" w:line="240" w:lineRule="auto"/>
              <w:ind w:left="-74" w:firstLine="74"/>
              <w:rPr>
                <w:sz w:val="12"/>
                <w:szCs w:val="12"/>
                <w:lang w:val="uk-UA"/>
              </w:rPr>
            </w:pPr>
          </w:p>
        </w:tc>
        <w:tc>
          <w:tcPr>
            <w:tcW w:w="6345" w:type="dxa"/>
            <w:shd w:val="clear" w:color="auto" w:fill="FFFF00"/>
          </w:tcPr>
          <w:p w:rsidR="0051698A" w:rsidRPr="00630218" w:rsidRDefault="0051698A" w:rsidP="0051698A">
            <w:pPr>
              <w:spacing w:after="160" w:line="240" w:lineRule="auto"/>
              <w:rPr>
                <w:sz w:val="12"/>
                <w:szCs w:val="12"/>
                <w:lang w:val="uk-UA"/>
              </w:rPr>
            </w:pPr>
          </w:p>
        </w:tc>
      </w:tr>
    </w:tbl>
    <w:p w:rsidR="0051698A" w:rsidRPr="00077929" w:rsidRDefault="00551522" w:rsidP="0077540C">
      <w:pPr>
        <w:spacing w:after="160" w:line="270" w:lineRule="exact"/>
        <w:rPr>
          <w:color w:val="000000" w:themeColor="text1"/>
          <w:sz w:val="26"/>
          <w:szCs w:val="26"/>
          <w:lang w:val="uk-UA"/>
        </w:rPr>
      </w:pPr>
      <w:r w:rsidRPr="00077929">
        <w:rPr>
          <w:color w:val="000000" w:themeColor="text1"/>
          <w:sz w:val="26"/>
          <w:szCs w:val="26"/>
          <w:lang w:val="uk-UA"/>
        </w:rPr>
        <w:t>1</w:t>
      </w:r>
      <w:r w:rsidR="005660A3" w:rsidRPr="00077929">
        <w:rPr>
          <w:color w:val="000000" w:themeColor="text1"/>
          <w:sz w:val="26"/>
          <w:szCs w:val="26"/>
          <w:lang w:val="uk-UA"/>
        </w:rPr>
        <w:t>7</w:t>
      </w:r>
      <w:r w:rsidR="0051698A" w:rsidRPr="00077929">
        <w:rPr>
          <w:color w:val="000000" w:themeColor="text1"/>
          <w:sz w:val="26"/>
          <w:szCs w:val="26"/>
          <w:lang w:val="uk-UA"/>
        </w:rPr>
        <w:t>.</w:t>
      </w:r>
      <w:r w:rsidR="00E34D55" w:rsidRPr="00077929">
        <w:rPr>
          <w:color w:val="000000" w:themeColor="text1"/>
          <w:sz w:val="26"/>
          <w:szCs w:val="26"/>
          <w:lang w:val="uk-UA"/>
        </w:rPr>
        <w:t>10</w:t>
      </w:r>
      <w:r w:rsidR="0051698A" w:rsidRPr="00077929">
        <w:rPr>
          <w:color w:val="000000" w:themeColor="text1"/>
          <w:sz w:val="26"/>
          <w:szCs w:val="26"/>
          <w:lang w:val="uk-UA"/>
        </w:rPr>
        <w:t>.202</w:t>
      </w:r>
      <w:r w:rsidR="0002660F" w:rsidRPr="00077929">
        <w:rPr>
          <w:color w:val="000000" w:themeColor="text1"/>
          <w:sz w:val="26"/>
          <w:szCs w:val="26"/>
          <w:lang w:val="uk-UA"/>
        </w:rPr>
        <w:t>2</w:t>
      </w:r>
    </w:p>
    <w:p w:rsidR="0051698A" w:rsidRPr="000D5340" w:rsidRDefault="0051698A" w:rsidP="0077540C">
      <w:pPr>
        <w:keepNext/>
        <w:spacing w:after="160" w:line="270" w:lineRule="exact"/>
        <w:jc w:val="center"/>
        <w:outlineLvl w:val="2"/>
        <w:rPr>
          <w:b/>
          <w:bCs/>
          <w:sz w:val="26"/>
          <w:szCs w:val="26"/>
          <w:lang w:val="uk-UA" w:eastAsia="ru-RU"/>
        </w:rPr>
      </w:pPr>
      <w:r w:rsidRPr="00984214">
        <w:rPr>
          <w:b/>
          <w:bCs/>
          <w:sz w:val="26"/>
          <w:szCs w:val="26"/>
          <w:lang w:val="uk-UA" w:eastAsia="ru-RU"/>
        </w:rPr>
        <w:t xml:space="preserve">Зовнішня торгівля товарами Одеської області </w:t>
      </w:r>
      <w:r w:rsidRPr="000D5340">
        <w:rPr>
          <w:b/>
          <w:bCs/>
          <w:sz w:val="26"/>
          <w:szCs w:val="26"/>
          <w:lang w:val="uk-UA" w:eastAsia="ru-RU"/>
        </w:rPr>
        <w:t xml:space="preserve">у </w:t>
      </w:r>
      <w:r w:rsidR="004651C2" w:rsidRPr="000D5340">
        <w:rPr>
          <w:b/>
          <w:bCs/>
          <w:sz w:val="26"/>
          <w:szCs w:val="26"/>
          <w:lang w:val="uk-UA" w:eastAsia="ru-RU"/>
        </w:rPr>
        <w:t>січні</w:t>
      </w:r>
      <w:r w:rsidR="00A51D4C" w:rsidRPr="000D5340">
        <w:rPr>
          <w:b/>
          <w:bCs/>
          <w:sz w:val="26"/>
          <w:szCs w:val="26"/>
          <w:lang w:val="uk-UA" w:eastAsia="ru-RU"/>
        </w:rPr>
        <w:t>–</w:t>
      </w:r>
      <w:r w:rsidR="00C11F7A">
        <w:rPr>
          <w:b/>
          <w:bCs/>
          <w:sz w:val="26"/>
          <w:szCs w:val="26"/>
          <w:lang w:val="uk-UA" w:eastAsia="ru-RU"/>
        </w:rPr>
        <w:t>серпні</w:t>
      </w:r>
      <w:r w:rsidR="004651C2" w:rsidRPr="000D5340">
        <w:rPr>
          <w:b/>
          <w:bCs/>
          <w:sz w:val="26"/>
          <w:szCs w:val="26"/>
          <w:lang w:val="uk-UA" w:eastAsia="ru-RU"/>
        </w:rPr>
        <w:t xml:space="preserve"> </w:t>
      </w:r>
      <w:r w:rsidRPr="000D5340">
        <w:rPr>
          <w:b/>
          <w:bCs/>
          <w:sz w:val="26"/>
          <w:szCs w:val="26"/>
          <w:lang w:val="uk-UA" w:eastAsia="ru-RU"/>
        </w:rPr>
        <w:t>202</w:t>
      </w:r>
      <w:r w:rsidR="004651C2" w:rsidRPr="000D5340">
        <w:rPr>
          <w:b/>
          <w:bCs/>
          <w:sz w:val="26"/>
          <w:szCs w:val="26"/>
          <w:lang w:val="uk-UA" w:eastAsia="ru-RU"/>
        </w:rPr>
        <w:t>2</w:t>
      </w:r>
      <w:r w:rsidRPr="000D5340">
        <w:rPr>
          <w:b/>
          <w:bCs/>
          <w:sz w:val="26"/>
          <w:szCs w:val="26"/>
          <w:lang w:val="uk-UA" w:eastAsia="ru-RU"/>
        </w:rPr>
        <w:t xml:space="preserve"> ро</w:t>
      </w:r>
      <w:r w:rsidR="004651C2" w:rsidRPr="000D5340">
        <w:rPr>
          <w:b/>
          <w:bCs/>
          <w:sz w:val="26"/>
          <w:szCs w:val="26"/>
          <w:lang w:val="uk-UA" w:eastAsia="ru-RU"/>
        </w:rPr>
        <w:t>ку</w:t>
      </w:r>
    </w:p>
    <w:p w:rsidR="0051698A" w:rsidRPr="00C11F7A" w:rsidRDefault="0051698A" w:rsidP="0077540C">
      <w:pPr>
        <w:tabs>
          <w:tab w:val="left" w:pos="1418"/>
          <w:tab w:val="left" w:pos="7938"/>
        </w:tabs>
        <w:spacing w:after="0" w:line="270" w:lineRule="exact"/>
        <w:ind w:firstLine="567"/>
        <w:jc w:val="both"/>
        <w:rPr>
          <w:rFonts w:eastAsia="Times New Roman" w:cs="Calibri"/>
          <w:color w:val="000000"/>
          <w:sz w:val="26"/>
          <w:szCs w:val="26"/>
          <w:lang w:val="uk-UA" w:eastAsia="ru-RU"/>
        </w:rPr>
      </w:pPr>
      <w:r w:rsidRPr="000D5340">
        <w:rPr>
          <w:rFonts w:eastAsia="Times New Roman" w:cs="Calibri"/>
          <w:color w:val="000000"/>
          <w:sz w:val="26"/>
          <w:szCs w:val="26"/>
          <w:lang w:val="uk-UA" w:eastAsia="ru-RU"/>
        </w:rPr>
        <w:t>У</w:t>
      </w:r>
      <w:r w:rsidR="004651C2" w:rsidRPr="000D5340">
        <w:rPr>
          <w:rFonts w:eastAsia="Times New Roman" w:cs="Calibri"/>
          <w:color w:val="000000"/>
          <w:sz w:val="26"/>
          <w:szCs w:val="26"/>
          <w:lang w:val="uk-UA" w:eastAsia="ru-RU"/>
        </w:rPr>
        <w:t xml:space="preserve"> січні</w:t>
      </w:r>
      <w:r w:rsidR="00551522" w:rsidRPr="000D5340">
        <w:rPr>
          <w:rFonts w:eastAsia="Times New Roman" w:cs="Calibri"/>
          <w:color w:val="000000"/>
          <w:sz w:val="26"/>
          <w:szCs w:val="26"/>
          <w:lang w:val="uk-UA" w:eastAsia="ru-RU"/>
        </w:rPr>
        <w:t>–</w:t>
      </w:r>
      <w:r w:rsidR="00C11F7A">
        <w:rPr>
          <w:rFonts w:eastAsia="Times New Roman" w:cs="Calibri"/>
          <w:color w:val="000000"/>
          <w:sz w:val="26"/>
          <w:szCs w:val="26"/>
          <w:lang w:val="uk-UA" w:eastAsia="ru-RU"/>
        </w:rPr>
        <w:t xml:space="preserve">серпні </w:t>
      </w:r>
      <w:r w:rsidRPr="000D5340">
        <w:rPr>
          <w:rFonts w:eastAsia="Times New Roman" w:cs="Calibri"/>
          <w:color w:val="000000"/>
          <w:sz w:val="26"/>
          <w:szCs w:val="26"/>
          <w:lang w:val="uk-UA" w:eastAsia="ru-RU"/>
        </w:rPr>
        <w:t>202</w:t>
      </w:r>
      <w:r w:rsidR="004651C2" w:rsidRPr="000D5340">
        <w:rPr>
          <w:rFonts w:eastAsia="Times New Roman" w:cs="Calibri"/>
          <w:color w:val="000000"/>
          <w:sz w:val="26"/>
          <w:szCs w:val="26"/>
          <w:lang w:val="uk-UA" w:eastAsia="ru-RU"/>
        </w:rPr>
        <w:t>2</w:t>
      </w:r>
      <w:r w:rsidRPr="000D5340">
        <w:rPr>
          <w:rFonts w:eastAsia="Times New Roman" w:cs="Calibri"/>
          <w:color w:val="000000"/>
          <w:sz w:val="26"/>
          <w:szCs w:val="26"/>
          <w:lang w:val="uk-UA" w:eastAsia="ru-RU"/>
        </w:rPr>
        <w:t xml:space="preserve">р. експорт товарів становив </w:t>
      </w:r>
      <w:r w:rsidR="00C11F7A">
        <w:rPr>
          <w:rFonts w:eastAsia="Times New Roman" w:cs="Calibri"/>
          <w:color w:val="000000"/>
          <w:sz w:val="26"/>
          <w:szCs w:val="26"/>
          <w:lang w:val="uk-UA" w:eastAsia="ru-RU"/>
        </w:rPr>
        <w:t>1301,1</w:t>
      </w:r>
      <w:r w:rsidR="00637208">
        <w:rPr>
          <w:rFonts w:eastAsia="Times New Roman" w:cs="Calibri"/>
          <w:color w:val="000000"/>
          <w:sz w:val="26"/>
          <w:szCs w:val="26"/>
          <w:lang w:val="uk-UA" w:eastAsia="ru-RU"/>
        </w:rPr>
        <w:t xml:space="preserve"> </w:t>
      </w:r>
      <w:r w:rsidR="0076383E" w:rsidRPr="000D5340">
        <w:rPr>
          <w:rFonts w:eastAsia="Times New Roman" w:cs="Calibri"/>
          <w:color w:val="000000"/>
          <w:sz w:val="26"/>
          <w:szCs w:val="26"/>
          <w:lang w:val="uk-UA" w:eastAsia="ru-RU"/>
        </w:rPr>
        <w:t>млн</w:t>
      </w:r>
      <w:r w:rsidRPr="000D5340">
        <w:rPr>
          <w:rFonts w:eastAsia="Times New Roman" w:cs="Calibri"/>
          <w:color w:val="000000"/>
          <w:sz w:val="26"/>
          <w:szCs w:val="26"/>
          <w:lang w:val="uk-UA" w:eastAsia="ru-RU"/>
        </w:rPr>
        <w:t xml:space="preserve">.дол. США, імпорт – </w:t>
      </w:r>
      <w:r w:rsidR="00C11F7A">
        <w:rPr>
          <w:rFonts w:eastAsia="Times New Roman" w:cs="Calibri"/>
          <w:color w:val="000000"/>
          <w:sz w:val="26"/>
          <w:szCs w:val="26"/>
          <w:lang w:val="uk-UA" w:eastAsia="ru-RU"/>
        </w:rPr>
        <w:t>1256,4</w:t>
      </w:r>
      <w:r w:rsidR="002E47F6" w:rsidRPr="000D5340">
        <w:rPr>
          <w:rFonts w:eastAsia="Times New Roman" w:cs="Calibri"/>
          <w:color w:val="000000"/>
          <w:sz w:val="26"/>
          <w:szCs w:val="26"/>
          <w:lang w:val="uk-UA" w:eastAsia="ru-RU"/>
        </w:rPr>
        <w:t xml:space="preserve"> </w:t>
      </w:r>
      <w:r w:rsidR="0076383E" w:rsidRPr="000D5340">
        <w:rPr>
          <w:rFonts w:eastAsia="Times New Roman" w:cs="Calibri"/>
          <w:color w:val="000000"/>
          <w:sz w:val="26"/>
          <w:szCs w:val="26"/>
          <w:lang w:val="uk-UA" w:eastAsia="ru-RU"/>
        </w:rPr>
        <w:t>млн</w:t>
      </w:r>
      <w:r w:rsidRPr="000D5340">
        <w:rPr>
          <w:rFonts w:eastAsia="Times New Roman" w:cs="Calibri"/>
          <w:color w:val="000000"/>
          <w:sz w:val="26"/>
          <w:szCs w:val="26"/>
          <w:lang w:val="uk-UA" w:eastAsia="ru-RU"/>
        </w:rPr>
        <w:t>.дол. Порівняно з</w:t>
      </w:r>
      <w:r w:rsidR="004651C2" w:rsidRPr="000D5340">
        <w:rPr>
          <w:rFonts w:eastAsia="Times New Roman" w:cs="Calibri"/>
          <w:color w:val="000000"/>
          <w:sz w:val="26"/>
          <w:szCs w:val="26"/>
          <w:lang w:val="uk-UA" w:eastAsia="ru-RU"/>
        </w:rPr>
        <w:t xml:space="preserve"> січнем</w:t>
      </w:r>
      <w:r w:rsidR="00A51D4C" w:rsidRPr="000D5340">
        <w:rPr>
          <w:rFonts w:eastAsia="Times New Roman" w:cs="Calibri"/>
          <w:color w:val="000000"/>
          <w:sz w:val="26"/>
          <w:szCs w:val="26"/>
          <w:lang w:val="uk-UA" w:eastAsia="ru-RU"/>
        </w:rPr>
        <w:t>–</w:t>
      </w:r>
      <w:r w:rsidR="00C11F7A" w:rsidRPr="00C11F7A">
        <w:rPr>
          <w:rFonts w:eastAsia="Times New Roman" w:cs="Calibri"/>
          <w:color w:val="000000"/>
          <w:sz w:val="26"/>
          <w:szCs w:val="26"/>
          <w:lang w:val="uk-UA" w:eastAsia="ru-RU"/>
        </w:rPr>
        <w:t>серпнем</w:t>
      </w:r>
      <w:r w:rsidR="00A51D4C" w:rsidRPr="00C11F7A">
        <w:rPr>
          <w:rFonts w:eastAsia="Times New Roman" w:cs="Calibri"/>
          <w:color w:val="000000"/>
          <w:sz w:val="26"/>
          <w:szCs w:val="26"/>
          <w:lang w:val="uk-UA" w:eastAsia="ru-RU"/>
        </w:rPr>
        <w:t xml:space="preserve"> </w:t>
      </w:r>
      <w:r w:rsidRPr="00C11F7A">
        <w:rPr>
          <w:rFonts w:eastAsia="Times New Roman" w:cs="Calibri"/>
          <w:color w:val="000000"/>
          <w:sz w:val="26"/>
          <w:szCs w:val="26"/>
          <w:lang w:val="uk-UA" w:eastAsia="ru-RU"/>
        </w:rPr>
        <w:t>20</w:t>
      </w:r>
      <w:r w:rsidR="004651C2" w:rsidRPr="00C11F7A">
        <w:rPr>
          <w:rFonts w:eastAsia="Times New Roman" w:cs="Calibri"/>
          <w:color w:val="000000"/>
          <w:sz w:val="26"/>
          <w:szCs w:val="26"/>
          <w:lang w:val="uk-UA" w:eastAsia="ru-RU"/>
        </w:rPr>
        <w:t>21</w:t>
      </w:r>
      <w:r w:rsidRPr="00C11F7A">
        <w:rPr>
          <w:rFonts w:eastAsia="Times New Roman" w:cs="Calibri"/>
          <w:color w:val="000000"/>
          <w:sz w:val="26"/>
          <w:szCs w:val="26"/>
          <w:lang w:val="uk-UA" w:eastAsia="ru-RU"/>
        </w:rPr>
        <w:t xml:space="preserve">р. експорт </w:t>
      </w:r>
      <w:r w:rsidRPr="00C11F7A">
        <w:rPr>
          <w:rFonts w:eastAsia="Times New Roman" w:cs="Calibri"/>
          <w:sz w:val="26"/>
          <w:szCs w:val="26"/>
          <w:lang w:val="uk-UA" w:eastAsia="ru-RU"/>
        </w:rPr>
        <w:t>з</w:t>
      </w:r>
      <w:r w:rsidR="004D0C14" w:rsidRPr="00C11F7A">
        <w:rPr>
          <w:rFonts w:eastAsia="Times New Roman" w:cs="Calibri"/>
          <w:sz w:val="26"/>
          <w:szCs w:val="26"/>
          <w:lang w:val="uk-UA" w:eastAsia="ru-RU"/>
        </w:rPr>
        <w:t>більшився</w:t>
      </w:r>
      <w:r w:rsidRPr="00C11F7A">
        <w:rPr>
          <w:rFonts w:eastAsia="Times New Roman" w:cs="Calibri"/>
          <w:sz w:val="26"/>
          <w:szCs w:val="26"/>
          <w:lang w:val="uk-UA" w:eastAsia="ru-RU"/>
        </w:rPr>
        <w:t xml:space="preserve"> </w:t>
      </w:r>
      <w:r w:rsidR="009C277F" w:rsidRPr="00C11F7A">
        <w:rPr>
          <w:rFonts w:eastAsia="Times New Roman" w:cs="Calibri"/>
          <w:sz w:val="26"/>
          <w:szCs w:val="26"/>
          <w:lang w:val="uk-UA" w:eastAsia="ru-RU"/>
        </w:rPr>
        <w:t>на</w:t>
      </w:r>
      <w:r w:rsidR="00E9782A" w:rsidRPr="00C11F7A">
        <w:rPr>
          <w:rFonts w:eastAsia="Times New Roman" w:cs="Calibri"/>
          <w:sz w:val="26"/>
          <w:szCs w:val="26"/>
          <w:lang w:val="uk-UA" w:eastAsia="ru-RU"/>
        </w:rPr>
        <w:t xml:space="preserve"> </w:t>
      </w:r>
      <w:r w:rsidR="00C11F7A" w:rsidRPr="00C11F7A">
        <w:rPr>
          <w:rFonts w:eastAsia="Times New Roman" w:cs="Calibri"/>
          <w:sz w:val="26"/>
          <w:szCs w:val="26"/>
          <w:lang w:val="uk-UA" w:eastAsia="ru-RU"/>
        </w:rPr>
        <w:t>47,5</w:t>
      </w:r>
      <w:r w:rsidR="009C277F" w:rsidRPr="00C11F7A">
        <w:rPr>
          <w:rFonts w:eastAsia="Times New Roman" w:cs="Calibri"/>
          <w:sz w:val="26"/>
          <w:szCs w:val="26"/>
          <w:lang w:val="uk-UA" w:eastAsia="ru-RU"/>
        </w:rPr>
        <w:t>%</w:t>
      </w:r>
      <w:r w:rsidRPr="00C11F7A">
        <w:rPr>
          <w:rFonts w:eastAsia="Times New Roman" w:cs="Calibri"/>
          <w:color w:val="000000"/>
          <w:sz w:val="26"/>
          <w:szCs w:val="26"/>
          <w:lang w:val="uk-UA" w:eastAsia="ru-RU"/>
        </w:rPr>
        <w:t xml:space="preserve"> (на </w:t>
      </w:r>
      <w:r w:rsidR="00C11F7A" w:rsidRPr="00C11F7A">
        <w:rPr>
          <w:rFonts w:eastAsia="Times New Roman" w:cs="Calibri"/>
          <w:color w:val="000000"/>
          <w:sz w:val="26"/>
          <w:szCs w:val="26"/>
          <w:lang w:val="uk-UA" w:eastAsia="ru-RU"/>
        </w:rPr>
        <w:t>419,1</w:t>
      </w:r>
      <w:r w:rsidRPr="00C11F7A">
        <w:rPr>
          <w:rFonts w:eastAsia="Times New Roman" w:cs="Calibri"/>
          <w:color w:val="000000"/>
          <w:sz w:val="26"/>
          <w:szCs w:val="26"/>
          <w:lang w:val="uk-UA" w:eastAsia="ru-RU"/>
        </w:rPr>
        <w:t xml:space="preserve"> </w:t>
      </w:r>
      <w:r w:rsidR="0076383E" w:rsidRPr="00C11F7A">
        <w:rPr>
          <w:rFonts w:eastAsia="Times New Roman" w:cs="Calibri"/>
          <w:color w:val="000000"/>
          <w:sz w:val="26"/>
          <w:szCs w:val="26"/>
          <w:lang w:val="uk-UA" w:eastAsia="ru-RU"/>
        </w:rPr>
        <w:t>млн</w:t>
      </w:r>
      <w:r w:rsidRPr="00C11F7A">
        <w:rPr>
          <w:rFonts w:eastAsia="Times New Roman" w:cs="Calibri"/>
          <w:color w:val="000000"/>
          <w:sz w:val="26"/>
          <w:szCs w:val="26"/>
          <w:lang w:val="uk-UA" w:eastAsia="ru-RU"/>
        </w:rPr>
        <w:t xml:space="preserve">.дол.), імпорт </w:t>
      </w:r>
      <w:r w:rsidR="00A51D4C" w:rsidRPr="00C11F7A">
        <w:rPr>
          <w:rFonts w:eastAsia="Times New Roman" w:cs="Calibri"/>
          <w:color w:val="000000"/>
          <w:sz w:val="26"/>
          <w:szCs w:val="26"/>
          <w:lang w:val="uk-UA" w:eastAsia="ru-RU"/>
        </w:rPr>
        <w:t>зменшився</w:t>
      </w:r>
      <w:r w:rsidR="00F036E9" w:rsidRPr="00C11F7A">
        <w:rPr>
          <w:rFonts w:eastAsia="Times New Roman" w:cs="Calibri"/>
          <w:color w:val="000000"/>
          <w:sz w:val="26"/>
          <w:szCs w:val="26"/>
          <w:lang w:val="uk-UA" w:eastAsia="ru-RU"/>
        </w:rPr>
        <w:t xml:space="preserve"> </w:t>
      </w:r>
      <w:r w:rsidRPr="00C11F7A">
        <w:rPr>
          <w:rFonts w:eastAsia="Times New Roman" w:cs="Calibri"/>
          <w:color w:val="000000"/>
          <w:sz w:val="26"/>
          <w:szCs w:val="26"/>
          <w:lang w:val="uk-UA" w:eastAsia="ru-RU"/>
        </w:rPr>
        <w:t>–</w:t>
      </w:r>
      <w:r w:rsidR="00980F35" w:rsidRPr="00C11F7A">
        <w:rPr>
          <w:rFonts w:eastAsia="Times New Roman" w:cs="Calibri"/>
          <w:color w:val="000000"/>
          <w:sz w:val="26"/>
          <w:szCs w:val="26"/>
          <w:lang w:val="uk-UA" w:eastAsia="ru-RU"/>
        </w:rPr>
        <w:t xml:space="preserve"> </w:t>
      </w:r>
      <w:r w:rsidR="004A0D88" w:rsidRPr="00C11F7A">
        <w:rPr>
          <w:rFonts w:eastAsia="Times New Roman" w:cs="Calibri"/>
          <w:color w:val="000000"/>
          <w:sz w:val="26"/>
          <w:szCs w:val="26"/>
          <w:lang w:val="uk-UA" w:eastAsia="ru-RU"/>
        </w:rPr>
        <w:t>на</w:t>
      </w:r>
      <w:r w:rsidR="00913B02" w:rsidRPr="00C11F7A">
        <w:rPr>
          <w:rFonts w:eastAsia="Times New Roman" w:cs="Calibri"/>
          <w:color w:val="000000"/>
          <w:sz w:val="26"/>
          <w:szCs w:val="26"/>
          <w:lang w:val="uk-UA" w:eastAsia="ru-RU"/>
        </w:rPr>
        <w:t xml:space="preserve"> </w:t>
      </w:r>
      <w:r w:rsidR="00C11F7A" w:rsidRPr="00C11F7A">
        <w:rPr>
          <w:rFonts w:eastAsia="Times New Roman" w:cs="Calibri"/>
          <w:color w:val="000000"/>
          <w:sz w:val="26"/>
          <w:szCs w:val="26"/>
          <w:lang w:val="uk-UA" w:eastAsia="ru-RU"/>
        </w:rPr>
        <w:t>10</w:t>
      </w:r>
      <w:r w:rsidR="000D5340" w:rsidRPr="00C11F7A">
        <w:rPr>
          <w:rFonts w:eastAsia="Times New Roman" w:cs="Calibri"/>
          <w:color w:val="000000"/>
          <w:sz w:val="26"/>
          <w:szCs w:val="26"/>
          <w:lang w:val="uk-UA" w:eastAsia="ru-RU"/>
        </w:rPr>
        <w:t>,4</w:t>
      </w:r>
      <w:r w:rsidR="008911C3" w:rsidRPr="00C11F7A">
        <w:rPr>
          <w:rFonts w:eastAsia="Times New Roman" w:cs="Calibri"/>
          <w:color w:val="000000"/>
          <w:sz w:val="26"/>
          <w:szCs w:val="26"/>
          <w:lang w:val="uk-UA" w:eastAsia="ru-RU"/>
        </w:rPr>
        <w:t>%</w:t>
      </w:r>
      <w:r w:rsidR="00913B02" w:rsidRPr="00C11F7A">
        <w:rPr>
          <w:rFonts w:eastAsia="Times New Roman" w:cs="Calibri"/>
          <w:color w:val="000000"/>
          <w:sz w:val="26"/>
          <w:szCs w:val="26"/>
          <w:lang w:val="uk-UA" w:eastAsia="ru-RU"/>
        </w:rPr>
        <w:t xml:space="preserve"> </w:t>
      </w:r>
      <w:r w:rsidR="008911C3" w:rsidRPr="00C11F7A">
        <w:rPr>
          <w:rFonts w:eastAsia="Times New Roman" w:cs="Calibri"/>
          <w:color w:val="000000"/>
          <w:sz w:val="26"/>
          <w:szCs w:val="26"/>
          <w:lang w:val="uk-UA" w:eastAsia="ru-RU"/>
        </w:rPr>
        <w:t>(</w:t>
      </w:r>
      <w:r w:rsidRPr="00C11F7A">
        <w:rPr>
          <w:rFonts w:eastAsia="Times New Roman" w:cs="Calibri"/>
          <w:color w:val="000000"/>
          <w:sz w:val="26"/>
          <w:szCs w:val="26"/>
          <w:lang w:val="uk-UA" w:eastAsia="ru-RU"/>
        </w:rPr>
        <w:t xml:space="preserve">на </w:t>
      </w:r>
      <w:r w:rsidR="00C11F7A" w:rsidRPr="00C11F7A">
        <w:rPr>
          <w:rFonts w:eastAsia="Times New Roman" w:cs="Calibri"/>
          <w:color w:val="000000"/>
          <w:sz w:val="26"/>
          <w:szCs w:val="26"/>
          <w:lang w:val="uk-UA" w:eastAsia="ru-RU"/>
        </w:rPr>
        <w:t>145,4</w:t>
      </w:r>
      <w:r w:rsidRPr="00C11F7A">
        <w:rPr>
          <w:rFonts w:eastAsia="Times New Roman" w:cs="Calibri"/>
          <w:color w:val="000000"/>
          <w:sz w:val="26"/>
          <w:szCs w:val="26"/>
          <w:lang w:val="uk-UA" w:eastAsia="ru-RU"/>
        </w:rPr>
        <w:t xml:space="preserve"> </w:t>
      </w:r>
      <w:r w:rsidR="008911C3" w:rsidRPr="00C11F7A">
        <w:rPr>
          <w:rFonts w:eastAsia="Times New Roman" w:cs="Calibri"/>
          <w:color w:val="000000"/>
          <w:sz w:val="26"/>
          <w:szCs w:val="26"/>
          <w:lang w:val="uk-UA" w:eastAsia="ru-RU"/>
        </w:rPr>
        <w:t>млн</w:t>
      </w:r>
      <w:r w:rsidR="00551522" w:rsidRPr="00C11F7A">
        <w:rPr>
          <w:rFonts w:eastAsia="Times New Roman" w:cs="Calibri"/>
          <w:color w:val="000000"/>
          <w:sz w:val="26"/>
          <w:szCs w:val="26"/>
          <w:lang w:val="uk-UA" w:eastAsia="ru-RU"/>
        </w:rPr>
        <w:t xml:space="preserve">.дол.). </w:t>
      </w:r>
      <w:r w:rsidR="00D22BA6">
        <w:rPr>
          <w:rFonts w:eastAsia="Times New Roman" w:cs="Calibri"/>
          <w:color w:val="000000"/>
          <w:sz w:val="26"/>
          <w:szCs w:val="26"/>
          <w:lang w:val="uk-UA" w:eastAsia="ru-RU"/>
        </w:rPr>
        <w:t>Позитивне с</w:t>
      </w:r>
      <w:r w:rsidRPr="00C11F7A">
        <w:rPr>
          <w:rFonts w:eastAsia="Times New Roman" w:cs="Calibri"/>
          <w:color w:val="000000"/>
          <w:sz w:val="26"/>
          <w:szCs w:val="26"/>
          <w:lang w:val="uk-UA" w:eastAsia="ru-RU"/>
        </w:rPr>
        <w:t xml:space="preserve">альдо </w:t>
      </w:r>
      <w:r w:rsidRPr="00C11F7A">
        <w:rPr>
          <w:rFonts w:eastAsia="Times New Roman" w:cs="Calibri"/>
          <w:sz w:val="26"/>
          <w:szCs w:val="26"/>
          <w:lang w:val="uk-UA" w:eastAsia="ru-RU"/>
        </w:rPr>
        <w:t>с</w:t>
      </w:r>
      <w:r w:rsidR="00A42EF2" w:rsidRPr="00C11F7A">
        <w:rPr>
          <w:rFonts w:eastAsia="Times New Roman" w:cs="Calibri"/>
          <w:sz w:val="26"/>
          <w:szCs w:val="26"/>
          <w:lang w:val="uk-UA" w:eastAsia="ru-RU"/>
        </w:rPr>
        <w:t>клало</w:t>
      </w:r>
      <w:r w:rsidRPr="00C11F7A">
        <w:rPr>
          <w:rFonts w:eastAsia="Times New Roman" w:cs="Calibri"/>
          <w:sz w:val="26"/>
          <w:szCs w:val="26"/>
          <w:lang w:val="uk-UA" w:eastAsia="ru-RU"/>
        </w:rPr>
        <w:t xml:space="preserve"> </w:t>
      </w:r>
      <w:r w:rsidR="00C11F7A" w:rsidRPr="00C11F7A">
        <w:rPr>
          <w:rFonts w:eastAsia="Times New Roman" w:cs="Calibri"/>
          <w:sz w:val="26"/>
          <w:szCs w:val="26"/>
          <w:lang w:val="uk-UA" w:eastAsia="ru-RU"/>
        </w:rPr>
        <w:t>44,7</w:t>
      </w:r>
      <w:r w:rsidRPr="00C11F7A">
        <w:rPr>
          <w:rFonts w:eastAsia="Times New Roman" w:cs="Calibri"/>
          <w:sz w:val="26"/>
          <w:szCs w:val="26"/>
          <w:lang w:val="uk-UA" w:eastAsia="ru-RU"/>
        </w:rPr>
        <w:t xml:space="preserve"> </w:t>
      </w:r>
      <w:r w:rsidR="0076383E" w:rsidRPr="00C11F7A">
        <w:rPr>
          <w:rFonts w:eastAsia="Times New Roman" w:cs="Calibri"/>
          <w:sz w:val="26"/>
          <w:szCs w:val="26"/>
          <w:lang w:val="uk-UA" w:eastAsia="ru-RU"/>
        </w:rPr>
        <w:t>млн</w:t>
      </w:r>
      <w:r w:rsidRPr="00C11F7A">
        <w:rPr>
          <w:rFonts w:eastAsia="Times New Roman" w:cs="Calibri"/>
          <w:sz w:val="26"/>
          <w:szCs w:val="26"/>
          <w:lang w:val="uk-UA" w:eastAsia="ru-RU"/>
        </w:rPr>
        <w:t>.дол. (у</w:t>
      </w:r>
      <w:r w:rsidR="00221502" w:rsidRPr="00C11F7A">
        <w:rPr>
          <w:rFonts w:eastAsia="Times New Roman" w:cs="Calibri"/>
          <w:sz w:val="26"/>
          <w:szCs w:val="26"/>
          <w:lang w:val="uk-UA" w:eastAsia="ru-RU"/>
        </w:rPr>
        <w:t xml:space="preserve"> січні</w:t>
      </w:r>
      <w:r w:rsidR="00476F2F" w:rsidRPr="00C11F7A">
        <w:rPr>
          <w:rFonts w:eastAsia="Times New Roman" w:cs="Calibri"/>
          <w:sz w:val="26"/>
          <w:szCs w:val="26"/>
          <w:lang w:val="uk-UA" w:eastAsia="ru-RU"/>
        </w:rPr>
        <w:t>–</w:t>
      </w:r>
      <w:r w:rsidR="00C11F7A" w:rsidRPr="00C11F7A">
        <w:rPr>
          <w:rFonts w:eastAsia="Times New Roman" w:cs="Calibri"/>
          <w:sz w:val="26"/>
          <w:szCs w:val="26"/>
          <w:lang w:val="uk-UA" w:eastAsia="ru-RU"/>
        </w:rPr>
        <w:t>серпні</w:t>
      </w:r>
      <w:r w:rsidR="00551522" w:rsidRPr="00C11F7A">
        <w:rPr>
          <w:rFonts w:eastAsia="Times New Roman" w:cs="Calibri"/>
          <w:sz w:val="26"/>
          <w:szCs w:val="26"/>
          <w:lang w:val="uk-UA" w:eastAsia="ru-RU"/>
        </w:rPr>
        <w:t xml:space="preserve"> </w:t>
      </w:r>
      <w:r w:rsidR="0041213D" w:rsidRPr="00C11F7A">
        <w:rPr>
          <w:rFonts w:eastAsia="Times New Roman" w:cs="Calibri"/>
          <w:color w:val="000000"/>
          <w:sz w:val="26"/>
          <w:szCs w:val="26"/>
          <w:lang w:val="uk-UA" w:eastAsia="ru-RU"/>
        </w:rPr>
        <w:t>2</w:t>
      </w:r>
      <w:r w:rsidRPr="00C11F7A">
        <w:rPr>
          <w:rFonts w:eastAsia="Times New Roman" w:cs="Calibri"/>
          <w:color w:val="000000"/>
          <w:sz w:val="26"/>
          <w:szCs w:val="26"/>
          <w:lang w:val="uk-UA" w:eastAsia="ru-RU"/>
        </w:rPr>
        <w:t>0</w:t>
      </w:r>
      <w:r w:rsidR="00890AF8" w:rsidRPr="00C11F7A">
        <w:rPr>
          <w:rFonts w:eastAsia="Times New Roman" w:cs="Calibri"/>
          <w:color w:val="000000"/>
          <w:sz w:val="26"/>
          <w:szCs w:val="26"/>
          <w:lang w:val="uk-UA" w:eastAsia="ru-RU"/>
        </w:rPr>
        <w:t>2</w:t>
      </w:r>
      <w:r w:rsidR="00221502" w:rsidRPr="00C11F7A">
        <w:rPr>
          <w:rFonts w:eastAsia="Times New Roman" w:cs="Calibri"/>
          <w:color w:val="000000"/>
          <w:sz w:val="26"/>
          <w:szCs w:val="26"/>
          <w:lang w:val="uk-UA" w:eastAsia="ru-RU"/>
        </w:rPr>
        <w:t>1</w:t>
      </w:r>
      <w:r w:rsidRPr="00C11F7A">
        <w:rPr>
          <w:rFonts w:eastAsia="Times New Roman" w:cs="Calibri"/>
          <w:color w:val="000000"/>
          <w:sz w:val="26"/>
          <w:szCs w:val="26"/>
          <w:lang w:val="uk-UA" w:eastAsia="ru-RU"/>
        </w:rPr>
        <w:t>р. сальдо</w:t>
      </w:r>
      <w:r w:rsidR="009339CC" w:rsidRPr="00C11F7A">
        <w:rPr>
          <w:rFonts w:eastAsia="Times New Roman" w:cs="Calibri"/>
          <w:color w:val="000000"/>
          <w:sz w:val="26"/>
          <w:szCs w:val="26"/>
          <w:lang w:val="uk-UA" w:eastAsia="ru-RU"/>
        </w:rPr>
        <w:t xml:space="preserve"> </w:t>
      </w:r>
      <w:r w:rsidR="008911C3" w:rsidRPr="00C11F7A">
        <w:rPr>
          <w:rFonts w:eastAsia="Times New Roman" w:cs="Calibri"/>
          <w:color w:val="000000"/>
          <w:sz w:val="26"/>
          <w:szCs w:val="26"/>
          <w:lang w:val="uk-UA" w:eastAsia="ru-RU"/>
        </w:rPr>
        <w:t>негативне</w:t>
      </w:r>
      <w:r w:rsidRPr="00C11F7A">
        <w:rPr>
          <w:rFonts w:eastAsia="Times New Roman" w:cs="Calibri"/>
          <w:color w:val="000000"/>
          <w:sz w:val="26"/>
          <w:szCs w:val="26"/>
          <w:lang w:val="uk-UA" w:eastAsia="ru-RU"/>
        </w:rPr>
        <w:t xml:space="preserve"> – </w:t>
      </w:r>
      <w:r w:rsidR="00C11F7A" w:rsidRPr="00C11F7A">
        <w:rPr>
          <w:rFonts w:eastAsia="Times New Roman" w:cs="Calibri"/>
          <w:color w:val="000000"/>
          <w:sz w:val="26"/>
          <w:szCs w:val="26"/>
          <w:lang w:val="uk-UA" w:eastAsia="ru-RU"/>
        </w:rPr>
        <w:t>519,8</w:t>
      </w:r>
      <w:r w:rsidRPr="00C11F7A">
        <w:rPr>
          <w:rFonts w:eastAsia="Times New Roman" w:cs="Calibri"/>
          <w:color w:val="000000"/>
          <w:sz w:val="26"/>
          <w:szCs w:val="26"/>
          <w:lang w:val="uk-UA" w:eastAsia="ru-RU"/>
        </w:rPr>
        <w:t xml:space="preserve"> </w:t>
      </w:r>
      <w:r w:rsidR="0076383E" w:rsidRPr="00C11F7A">
        <w:rPr>
          <w:rFonts w:eastAsia="Times New Roman" w:cs="Calibri"/>
          <w:color w:val="000000"/>
          <w:sz w:val="26"/>
          <w:szCs w:val="26"/>
          <w:lang w:val="uk-UA" w:eastAsia="ru-RU"/>
        </w:rPr>
        <w:t>млн</w:t>
      </w:r>
      <w:r w:rsidRPr="00C11F7A">
        <w:rPr>
          <w:rFonts w:eastAsia="Times New Roman" w:cs="Calibri"/>
          <w:color w:val="000000"/>
          <w:sz w:val="26"/>
          <w:szCs w:val="26"/>
          <w:lang w:val="uk-UA" w:eastAsia="ru-RU"/>
        </w:rPr>
        <w:t>.дол.</w:t>
      </w:r>
      <w:r w:rsidR="005623FA" w:rsidRPr="00C11F7A">
        <w:rPr>
          <w:rFonts w:eastAsia="Times New Roman" w:cs="Calibri"/>
          <w:color w:val="000000"/>
          <w:sz w:val="26"/>
          <w:szCs w:val="26"/>
          <w:lang w:val="uk-UA" w:eastAsia="ru-RU"/>
        </w:rPr>
        <w:t xml:space="preserve"> США</w:t>
      </w:r>
      <w:r w:rsidRPr="00C11F7A">
        <w:rPr>
          <w:rFonts w:eastAsia="Times New Roman" w:cs="Calibri"/>
          <w:color w:val="000000"/>
          <w:spacing w:val="-20"/>
          <w:sz w:val="26"/>
          <w:szCs w:val="26"/>
          <w:lang w:val="uk-UA" w:eastAsia="ru-RU"/>
        </w:rPr>
        <w:t>).</w:t>
      </w:r>
    </w:p>
    <w:p w:rsidR="0051698A" w:rsidRPr="00E34D55" w:rsidRDefault="0051698A" w:rsidP="0077540C">
      <w:pPr>
        <w:spacing w:after="0" w:line="270" w:lineRule="exact"/>
        <w:ind w:firstLine="567"/>
        <w:jc w:val="both"/>
        <w:rPr>
          <w:spacing w:val="-4"/>
          <w:sz w:val="26"/>
          <w:szCs w:val="26"/>
          <w:lang w:val="uk-UA"/>
        </w:rPr>
      </w:pPr>
      <w:r w:rsidRPr="00C11F7A">
        <w:rPr>
          <w:spacing w:val="-4"/>
          <w:sz w:val="26"/>
          <w:szCs w:val="26"/>
          <w:lang w:val="uk-UA"/>
        </w:rPr>
        <w:t>Коефіцієнт покриття експортом імпорту становив</w:t>
      </w:r>
      <w:r w:rsidR="00E610D4" w:rsidRPr="00C11F7A">
        <w:rPr>
          <w:spacing w:val="-4"/>
          <w:sz w:val="26"/>
          <w:szCs w:val="26"/>
          <w:lang w:val="uk-UA"/>
        </w:rPr>
        <w:t xml:space="preserve"> </w:t>
      </w:r>
      <w:r w:rsidR="00551522" w:rsidRPr="00C11F7A">
        <w:rPr>
          <w:spacing w:val="-4"/>
          <w:sz w:val="26"/>
          <w:szCs w:val="26"/>
          <w:lang w:val="uk-UA"/>
        </w:rPr>
        <w:t>1,</w:t>
      </w:r>
      <w:r w:rsidR="00D46081" w:rsidRPr="00C11F7A">
        <w:rPr>
          <w:spacing w:val="-4"/>
          <w:sz w:val="26"/>
          <w:szCs w:val="26"/>
          <w:lang w:val="uk-UA"/>
        </w:rPr>
        <w:t>0</w:t>
      </w:r>
      <w:r w:rsidR="00C11F7A" w:rsidRPr="00C11F7A">
        <w:rPr>
          <w:spacing w:val="-4"/>
          <w:sz w:val="26"/>
          <w:szCs w:val="26"/>
          <w:lang w:val="uk-UA"/>
        </w:rPr>
        <w:t xml:space="preserve">4 </w:t>
      </w:r>
      <w:r w:rsidRPr="00C11F7A">
        <w:rPr>
          <w:spacing w:val="-4"/>
          <w:sz w:val="26"/>
          <w:szCs w:val="26"/>
          <w:lang w:val="uk-UA"/>
        </w:rPr>
        <w:t xml:space="preserve">(у </w:t>
      </w:r>
      <w:r w:rsidR="00221502" w:rsidRPr="00C11F7A">
        <w:rPr>
          <w:spacing w:val="-4"/>
          <w:sz w:val="26"/>
          <w:szCs w:val="26"/>
          <w:lang w:val="uk-UA"/>
        </w:rPr>
        <w:t>січні</w:t>
      </w:r>
      <w:r w:rsidR="00A51D4C" w:rsidRPr="00C11F7A">
        <w:rPr>
          <w:spacing w:val="-4"/>
          <w:sz w:val="26"/>
          <w:szCs w:val="26"/>
          <w:lang w:val="uk-UA"/>
        </w:rPr>
        <w:t>–</w:t>
      </w:r>
      <w:r w:rsidR="00C11F7A" w:rsidRPr="00C11F7A">
        <w:rPr>
          <w:spacing w:val="-4"/>
          <w:sz w:val="26"/>
          <w:szCs w:val="26"/>
          <w:lang w:val="uk-UA"/>
        </w:rPr>
        <w:t>серпні</w:t>
      </w:r>
      <w:r w:rsidR="00221502" w:rsidRPr="00C11F7A">
        <w:rPr>
          <w:spacing w:val="-4"/>
          <w:sz w:val="26"/>
          <w:szCs w:val="26"/>
          <w:lang w:val="uk-UA"/>
        </w:rPr>
        <w:t xml:space="preserve"> </w:t>
      </w:r>
      <w:r w:rsidRPr="00C11F7A">
        <w:rPr>
          <w:spacing w:val="-4"/>
          <w:sz w:val="26"/>
          <w:szCs w:val="26"/>
          <w:lang w:val="uk-UA"/>
        </w:rPr>
        <w:t>20</w:t>
      </w:r>
      <w:r w:rsidR="005C7B43" w:rsidRPr="00C11F7A">
        <w:rPr>
          <w:spacing w:val="-4"/>
          <w:sz w:val="26"/>
          <w:szCs w:val="26"/>
          <w:lang w:val="uk-UA"/>
        </w:rPr>
        <w:t>2</w:t>
      </w:r>
      <w:r w:rsidR="00221502" w:rsidRPr="00C11F7A">
        <w:rPr>
          <w:spacing w:val="-4"/>
          <w:sz w:val="26"/>
          <w:szCs w:val="26"/>
          <w:lang w:val="uk-UA"/>
        </w:rPr>
        <w:t>1</w:t>
      </w:r>
      <w:r w:rsidRPr="00C11F7A">
        <w:rPr>
          <w:spacing w:val="-4"/>
          <w:sz w:val="26"/>
          <w:szCs w:val="26"/>
          <w:lang w:val="uk-UA"/>
        </w:rPr>
        <w:t>р</w:t>
      </w:r>
      <w:r w:rsidRPr="00E34D55">
        <w:rPr>
          <w:spacing w:val="-4"/>
          <w:sz w:val="26"/>
          <w:szCs w:val="26"/>
          <w:lang w:val="uk-UA"/>
        </w:rPr>
        <w:t xml:space="preserve">. – </w:t>
      </w:r>
      <w:r w:rsidR="00890AF8" w:rsidRPr="00E34D55">
        <w:rPr>
          <w:spacing w:val="-4"/>
          <w:sz w:val="26"/>
          <w:szCs w:val="26"/>
          <w:lang w:val="uk-UA"/>
        </w:rPr>
        <w:t>0</w:t>
      </w:r>
      <w:r w:rsidRPr="00E34D55">
        <w:rPr>
          <w:spacing w:val="-4"/>
          <w:sz w:val="26"/>
          <w:szCs w:val="26"/>
          <w:lang w:val="uk-UA"/>
        </w:rPr>
        <w:t>,</w:t>
      </w:r>
      <w:r w:rsidR="00E34D55" w:rsidRPr="00E34D55">
        <w:rPr>
          <w:spacing w:val="-4"/>
          <w:sz w:val="26"/>
          <w:szCs w:val="26"/>
          <w:lang w:val="uk-UA"/>
        </w:rPr>
        <w:t>63</w:t>
      </w:r>
      <w:r w:rsidRPr="00E34D55">
        <w:rPr>
          <w:spacing w:val="-4"/>
          <w:sz w:val="26"/>
          <w:szCs w:val="26"/>
          <w:lang w:val="uk-UA"/>
        </w:rPr>
        <w:t>).</w:t>
      </w:r>
    </w:p>
    <w:p w:rsidR="0051698A" w:rsidRPr="007C0B1D" w:rsidRDefault="0051698A" w:rsidP="0077540C">
      <w:pPr>
        <w:spacing w:after="0" w:line="270" w:lineRule="exact"/>
        <w:ind w:firstLine="567"/>
        <w:jc w:val="both"/>
        <w:rPr>
          <w:sz w:val="26"/>
          <w:szCs w:val="26"/>
          <w:lang w:val="uk-UA"/>
        </w:rPr>
      </w:pPr>
      <w:r w:rsidRPr="00E34D55">
        <w:rPr>
          <w:sz w:val="26"/>
          <w:szCs w:val="26"/>
          <w:lang w:val="uk-UA"/>
        </w:rPr>
        <w:t>Зовнішньоторговельні операції</w:t>
      </w:r>
      <w:r w:rsidR="00CF5CF6" w:rsidRPr="00E34D55">
        <w:rPr>
          <w:sz w:val="26"/>
          <w:szCs w:val="26"/>
          <w:lang w:val="uk-UA"/>
        </w:rPr>
        <w:t xml:space="preserve"> проводилися із </w:t>
      </w:r>
      <w:r w:rsidR="00CF5CF6" w:rsidRPr="00672318">
        <w:rPr>
          <w:sz w:val="26"/>
          <w:szCs w:val="26"/>
          <w:lang w:val="uk-UA"/>
        </w:rPr>
        <w:t xml:space="preserve">партнерами із </w:t>
      </w:r>
      <w:r w:rsidR="00FC51FE" w:rsidRPr="00672318">
        <w:rPr>
          <w:sz w:val="26"/>
          <w:szCs w:val="26"/>
          <w:lang w:val="uk-UA"/>
        </w:rPr>
        <w:t>15</w:t>
      </w:r>
      <w:r w:rsidR="00672318" w:rsidRPr="00672318">
        <w:rPr>
          <w:sz w:val="26"/>
          <w:szCs w:val="26"/>
          <w:lang w:val="uk-UA"/>
        </w:rPr>
        <w:t>2</w:t>
      </w:r>
      <w:r w:rsidRPr="00672318">
        <w:rPr>
          <w:sz w:val="26"/>
          <w:szCs w:val="26"/>
          <w:lang w:val="uk-UA"/>
        </w:rPr>
        <w:t xml:space="preserve"> країн світу.</w:t>
      </w:r>
    </w:p>
    <w:p w:rsidR="00FA33EC" w:rsidRPr="008654F3" w:rsidRDefault="00FA33EC" w:rsidP="00FA33EC">
      <w:pPr>
        <w:spacing w:after="0" w:line="270" w:lineRule="exact"/>
        <w:ind w:firstLine="567"/>
        <w:jc w:val="both"/>
        <w:rPr>
          <w:color w:val="000000" w:themeColor="text1"/>
          <w:sz w:val="26"/>
          <w:szCs w:val="26"/>
          <w:lang w:val="uk-UA"/>
        </w:rPr>
      </w:pPr>
    </w:p>
    <w:p w:rsidR="00FA33EC" w:rsidRPr="00984214" w:rsidRDefault="00FA33EC" w:rsidP="00FA33EC">
      <w:pPr>
        <w:spacing w:after="0" w:line="240" w:lineRule="auto"/>
        <w:jc w:val="center"/>
        <w:rPr>
          <w:b/>
          <w:sz w:val="24"/>
          <w:szCs w:val="24"/>
          <w:lang w:val="uk-UA"/>
        </w:rPr>
        <w:sectPr w:rsidR="00FA33EC" w:rsidRPr="00984214" w:rsidSect="007E6BEA">
          <w:footerReference w:type="default" r:id="rId9"/>
          <w:type w:val="continuous"/>
          <w:pgSz w:w="11906" w:h="16838" w:code="9"/>
          <w:pgMar w:top="851" w:right="1134" w:bottom="567" w:left="1134" w:header="709" w:footer="709" w:gutter="0"/>
          <w:cols w:space="708"/>
          <w:titlePg/>
          <w:docGrid w:linePitch="360"/>
        </w:sectPr>
      </w:pPr>
    </w:p>
    <w:p w:rsidR="00FA33EC" w:rsidRPr="00984214" w:rsidRDefault="00FA33EC" w:rsidP="00FA33EC">
      <w:pPr>
        <w:spacing w:after="0" w:line="240" w:lineRule="auto"/>
        <w:jc w:val="center"/>
        <w:rPr>
          <w:b/>
          <w:sz w:val="20"/>
          <w:szCs w:val="20"/>
          <w:lang w:val="uk-UA"/>
        </w:rPr>
      </w:pPr>
      <w:r w:rsidRPr="00984214">
        <w:rPr>
          <w:b/>
          <w:sz w:val="20"/>
          <w:szCs w:val="20"/>
          <w:lang w:val="uk-UA"/>
        </w:rPr>
        <w:lastRenderedPageBreak/>
        <w:t>Темпи зростання (зниження) експорту товарів</w:t>
      </w:r>
    </w:p>
    <w:p w:rsidR="00FA33EC" w:rsidRPr="00984214" w:rsidRDefault="00FA33EC" w:rsidP="00FA33EC">
      <w:pPr>
        <w:spacing w:after="0" w:line="240" w:lineRule="auto"/>
        <w:jc w:val="center"/>
        <w:rPr>
          <w:sz w:val="18"/>
          <w:szCs w:val="18"/>
          <w:lang w:val="uk-UA"/>
        </w:rPr>
      </w:pPr>
      <w:r w:rsidRPr="00984214">
        <w:rPr>
          <w:sz w:val="18"/>
          <w:szCs w:val="18"/>
          <w:lang w:val="uk-UA"/>
        </w:rPr>
        <w:t>(у % до відповідного періоду попереднього року, наростаючим підсумком)</w:t>
      </w:r>
    </w:p>
    <w:p w:rsidR="00FA33EC" w:rsidRPr="00984214" w:rsidRDefault="00FA33EC" w:rsidP="00FA33EC">
      <w:pPr>
        <w:spacing w:after="0" w:line="240" w:lineRule="auto"/>
        <w:jc w:val="center"/>
        <w:rPr>
          <w:b/>
          <w:sz w:val="20"/>
          <w:szCs w:val="20"/>
          <w:vertAlign w:val="superscript"/>
          <w:lang w:val="uk-UA"/>
        </w:rPr>
      </w:pPr>
      <w:r w:rsidRPr="00984214">
        <w:rPr>
          <w:b/>
          <w:sz w:val="20"/>
          <w:szCs w:val="20"/>
          <w:lang w:val="uk-UA"/>
        </w:rPr>
        <w:lastRenderedPageBreak/>
        <w:t>Темпи зростання (зниження) імпорту товарів</w:t>
      </w:r>
    </w:p>
    <w:p w:rsidR="00FA33EC" w:rsidRPr="00984214" w:rsidRDefault="00FA33EC" w:rsidP="00FA33EC">
      <w:pPr>
        <w:spacing w:after="0" w:line="240" w:lineRule="auto"/>
        <w:jc w:val="center"/>
        <w:rPr>
          <w:rFonts w:eastAsia="Times New Roman"/>
          <w:sz w:val="18"/>
          <w:szCs w:val="18"/>
          <w:lang w:val="uk-UA" w:eastAsia="ru-RU"/>
        </w:rPr>
      </w:pPr>
      <w:r w:rsidRPr="00984214">
        <w:rPr>
          <w:b/>
          <w:sz w:val="20"/>
          <w:szCs w:val="20"/>
          <w:vertAlign w:val="superscript"/>
          <w:lang w:val="uk-UA"/>
        </w:rPr>
        <w:t xml:space="preserve"> </w:t>
      </w:r>
      <w:r w:rsidRPr="00984214">
        <w:rPr>
          <w:b/>
          <w:sz w:val="18"/>
          <w:szCs w:val="18"/>
          <w:vertAlign w:val="superscript"/>
          <w:lang w:val="uk-UA"/>
        </w:rPr>
        <w:t xml:space="preserve">   </w:t>
      </w:r>
      <w:r w:rsidRPr="00984214">
        <w:rPr>
          <w:sz w:val="18"/>
          <w:szCs w:val="18"/>
          <w:lang w:val="uk-UA"/>
        </w:rPr>
        <w:t>(</w:t>
      </w:r>
      <w:r w:rsidRPr="00984214">
        <w:rPr>
          <w:rFonts w:eastAsia="Times New Roman"/>
          <w:sz w:val="18"/>
          <w:szCs w:val="18"/>
          <w:lang w:val="uk-UA" w:eastAsia="ru-RU"/>
        </w:rPr>
        <w:t>у % до відповідного періоду попереднього року,   наростаючим підсумком)</w:t>
      </w:r>
    </w:p>
    <w:p w:rsidR="00FA33EC" w:rsidRPr="00984214" w:rsidRDefault="00B26188" w:rsidP="00FA33EC">
      <w:pPr>
        <w:spacing w:after="0" w:line="240" w:lineRule="auto"/>
        <w:jc w:val="both"/>
        <w:rPr>
          <w:lang w:val="uk-UA"/>
        </w:rPr>
        <w:sectPr w:rsidR="00FA33EC" w:rsidRPr="00984214" w:rsidSect="00AE3ABE">
          <w:type w:val="continuous"/>
          <w:pgSz w:w="11906" w:h="16838" w:code="9"/>
          <w:pgMar w:top="851" w:right="1134" w:bottom="567" w:left="1134" w:header="709" w:footer="709" w:gutter="0"/>
          <w:cols w:num="2" w:space="284"/>
          <w:titlePg/>
          <w:docGrid w:linePitch="360"/>
        </w:sectPr>
      </w:pPr>
      <w:r>
        <w:rPr>
          <w:noProof/>
          <w:sz w:val="18"/>
          <w:szCs w:val="18"/>
          <w:lang w:val="uk-UA" w:eastAsia="uk-UA"/>
        </w:rPr>
        <w:drawing>
          <wp:anchor distT="0" distB="0" distL="114300" distR="114300" simplePos="0" relativeHeight="251658240" behindDoc="0" locked="0" layoutInCell="1" allowOverlap="1">
            <wp:simplePos x="0" y="0"/>
            <wp:positionH relativeFrom="column">
              <wp:posOffset>-43180</wp:posOffset>
            </wp:positionH>
            <wp:positionV relativeFrom="paragraph">
              <wp:posOffset>-299720</wp:posOffset>
            </wp:positionV>
            <wp:extent cx="3131820" cy="2103755"/>
            <wp:effectExtent l="0" t="0" r="0" b="0"/>
            <wp:wrapSquare wrapText="right"/>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noProof/>
          <w:lang w:val="uk-UA" w:eastAsia="uk-UA"/>
        </w:rPr>
        <w:drawing>
          <wp:inline distT="0" distB="0" distL="0" distR="0">
            <wp:extent cx="3163570" cy="215836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D457E" w:rsidRPr="00984214" w:rsidRDefault="000D457E" w:rsidP="0095740E">
      <w:pPr>
        <w:spacing w:after="0" w:line="240" w:lineRule="auto"/>
        <w:jc w:val="both"/>
        <w:rPr>
          <w:sz w:val="16"/>
          <w:szCs w:val="16"/>
          <w:lang w:val="uk-UA" w:eastAsia="ru-RU"/>
        </w:rPr>
      </w:pPr>
    </w:p>
    <w:p w:rsidR="00207535" w:rsidRPr="00984214" w:rsidRDefault="00207535" w:rsidP="00207535">
      <w:pPr>
        <w:spacing w:after="0" w:line="260" w:lineRule="exact"/>
        <w:ind w:firstLine="567"/>
        <w:jc w:val="both"/>
        <w:rPr>
          <w:rFonts w:cs="Calibri"/>
          <w:sz w:val="20"/>
          <w:szCs w:val="20"/>
          <w:lang w:val="uk-UA"/>
        </w:rPr>
      </w:pPr>
      <w:r>
        <w:rPr>
          <w:sz w:val="26"/>
          <w:szCs w:val="26"/>
          <w:lang w:val="uk-UA" w:eastAsia="ru-RU"/>
        </w:rPr>
        <w:t>Більше інформації щодо</w:t>
      </w:r>
      <w:r w:rsidRPr="00984214">
        <w:rPr>
          <w:sz w:val="26"/>
          <w:szCs w:val="26"/>
          <w:lang w:val="uk-UA" w:eastAsia="ru-RU"/>
        </w:rPr>
        <w:t xml:space="preserve"> товарної структур</w:t>
      </w:r>
      <w:r w:rsidR="00A406BE">
        <w:rPr>
          <w:sz w:val="26"/>
          <w:szCs w:val="26"/>
          <w:lang w:val="uk-UA" w:eastAsia="ru-RU"/>
        </w:rPr>
        <w:t>и</w:t>
      </w:r>
      <w:r w:rsidRPr="00984214">
        <w:rPr>
          <w:sz w:val="26"/>
          <w:szCs w:val="26"/>
          <w:lang w:val="uk-UA" w:eastAsia="ru-RU"/>
        </w:rPr>
        <w:t xml:space="preserve"> зовнішн</w:t>
      </w:r>
      <w:r>
        <w:rPr>
          <w:sz w:val="26"/>
          <w:szCs w:val="26"/>
          <w:lang w:val="uk-UA" w:eastAsia="ru-RU"/>
        </w:rPr>
        <w:t>ьої торгівлі наведено в додатку</w:t>
      </w:r>
      <w:r w:rsidRPr="00984214">
        <w:rPr>
          <w:sz w:val="26"/>
          <w:szCs w:val="26"/>
          <w:lang w:val="uk-UA" w:eastAsia="ru-RU"/>
        </w:rPr>
        <w:t>.</w:t>
      </w:r>
      <w:r w:rsidRPr="00984214">
        <w:rPr>
          <w:rFonts w:cs="Calibri"/>
          <w:sz w:val="20"/>
          <w:szCs w:val="20"/>
          <w:lang w:val="uk-UA"/>
        </w:rPr>
        <w:t xml:space="preserve"> </w:t>
      </w:r>
    </w:p>
    <w:p w:rsidR="00207535" w:rsidRPr="00984214" w:rsidRDefault="00207535" w:rsidP="00207535">
      <w:pPr>
        <w:spacing w:after="0" w:line="240" w:lineRule="exact"/>
        <w:rPr>
          <w:u w:val="single"/>
          <w:lang w:val="uk-UA"/>
        </w:rPr>
      </w:pPr>
    </w:p>
    <w:p w:rsidR="00207535" w:rsidRPr="00984214" w:rsidRDefault="00207535" w:rsidP="00207535">
      <w:pPr>
        <w:spacing w:after="0" w:line="240" w:lineRule="exact"/>
        <w:rPr>
          <w:u w:val="single"/>
          <w:lang w:val="uk-UA"/>
        </w:rPr>
      </w:pPr>
    </w:p>
    <w:p w:rsidR="00207535" w:rsidRPr="00984214" w:rsidRDefault="00207535" w:rsidP="00207535">
      <w:pPr>
        <w:spacing w:after="0" w:line="240" w:lineRule="exact"/>
        <w:rPr>
          <w:u w:val="single"/>
          <w:lang w:val="uk-UA"/>
        </w:rPr>
      </w:pPr>
      <w:r w:rsidRPr="00984214">
        <w:rPr>
          <w:u w:val="single"/>
          <w:lang w:val="uk-UA"/>
        </w:rPr>
        <w:t xml:space="preserve">Географічне охоплення </w:t>
      </w:r>
    </w:p>
    <w:p w:rsidR="00207535" w:rsidRPr="002E1A0F" w:rsidRDefault="00207535" w:rsidP="00207535">
      <w:pPr>
        <w:spacing w:after="0" w:line="240" w:lineRule="auto"/>
        <w:jc w:val="both"/>
        <w:rPr>
          <w:rFonts w:eastAsia="Times New Roman"/>
          <w:lang w:val="uk-UA" w:eastAsia="ru-RU"/>
        </w:rPr>
      </w:pPr>
      <w:r w:rsidRPr="002E1A0F">
        <w:rPr>
          <w:rFonts w:eastAsia="Times New Roman"/>
          <w:lang w:val="uk-UA" w:eastAsia="ru-RU"/>
        </w:rPr>
        <w:t>Спостереження охоплює усі регіони України, крім тимчасово окупованої території Автономної Республіки Крим, м. Севастополя та частини тимчасово окупованих територій у Донецькій та Луганській областях.</w:t>
      </w:r>
    </w:p>
    <w:p w:rsidR="00207535" w:rsidRPr="00984214" w:rsidRDefault="00207535" w:rsidP="00207535">
      <w:pPr>
        <w:tabs>
          <w:tab w:val="left" w:pos="8175"/>
        </w:tabs>
        <w:spacing w:before="120" w:after="0" w:line="240" w:lineRule="auto"/>
        <w:jc w:val="both"/>
        <w:rPr>
          <w:rFonts w:eastAsia="Times New Roman"/>
          <w:lang w:val="uk-UA" w:eastAsia="ru-RU"/>
        </w:rPr>
      </w:pPr>
      <w:r w:rsidRPr="00984214">
        <w:rPr>
          <w:u w:val="single"/>
          <w:lang w:val="uk-UA"/>
        </w:rPr>
        <w:t>Методологія та визначення</w:t>
      </w:r>
    </w:p>
    <w:p w:rsidR="00207535" w:rsidRPr="00984214" w:rsidRDefault="00207535" w:rsidP="00207535">
      <w:pPr>
        <w:spacing w:after="0" w:line="240" w:lineRule="auto"/>
        <w:jc w:val="both"/>
        <w:rPr>
          <w:lang w:val="uk-UA"/>
        </w:rPr>
      </w:pPr>
      <w:r w:rsidRPr="00984214">
        <w:rPr>
          <w:b/>
          <w:lang w:val="uk-UA"/>
        </w:rPr>
        <w:t>Експорт товарів</w:t>
      </w:r>
      <w:r w:rsidRPr="00984214">
        <w:rPr>
          <w:lang w:val="uk-UA"/>
        </w:rPr>
        <w:t xml:space="preserve"> – це митний режим, відповідно до якого українські товари випускаються для вільного обігу за межами митної території України без зобов’язань щодо їх зворотного ввезення.</w:t>
      </w:r>
    </w:p>
    <w:p w:rsidR="00207535" w:rsidRPr="00984214" w:rsidRDefault="00207535" w:rsidP="00207535">
      <w:pPr>
        <w:spacing w:after="0" w:line="240" w:lineRule="auto"/>
        <w:jc w:val="both"/>
        <w:rPr>
          <w:lang w:val="uk-UA"/>
        </w:rPr>
      </w:pPr>
      <w:r w:rsidRPr="00984214">
        <w:rPr>
          <w:b/>
          <w:lang w:val="uk-UA"/>
        </w:rPr>
        <w:t>Імпорт товарів</w:t>
      </w:r>
      <w:r w:rsidRPr="00984214">
        <w:rPr>
          <w:i/>
          <w:lang w:val="uk-UA"/>
        </w:rPr>
        <w:t xml:space="preserve"> – </w:t>
      </w:r>
      <w:r w:rsidRPr="00984214">
        <w:rPr>
          <w:lang w:val="uk-UA"/>
        </w:rPr>
        <w:t>це митний режим, відповідно до якого іноземні товари після сплати всіх митних платежів, установлених законами України на імпорт цих товарів, та виконання всіх необхідних митних формальностей випускаються для вільного обігу на митній території України.</w:t>
      </w:r>
    </w:p>
    <w:p w:rsidR="00207535" w:rsidRPr="00984214" w:rsidRDefault="00207535" w:rsidP="00207535">
      <w:pPr>
        <w:spacing w:before="100" w:after="0" w:line="240" w:lineRule="auto"/>
        <w:jc w:val="both"/>
        <w:rPr>
          <w:lang w:val="uk-UA"/>
        </w:rPr>
      </w:pPr>
      <w:r w:rsidRPr="00984214">
        <w:rPr>
          <w:lang w:val="uk-UA"/>
        </w:rPr>
        <w:t xml:space="preserve">Дані зі статистики зовнішньої торгівлі товарами формуються на основі адміністративних даних митних декларацій (Державна митна служба України), довідки щодо експорту-імпорту газу природного (НАК "Нафтогаз України"), а також форми державного статистичного спостереження щодо експорту-імпорту товарів, придбаних у портах. </w:t>
      </w:r>
    </w:p>
    <w:p w:rsidR="00207535" w:rsidRPr="00984214" w:rsidRDefault="00207535" w:rsidP="00207535">
      <w:pPr>
        <w:spacing w:before="100" w:after="0" w:line="240" w:lineRule="auto"/>
        <w:jc w:val="both"/>
        <w:rPr>
          <w:lang w:val="uk-UA"/>
        </w:rPr>
      </w:pPr>
      <w:r w:rsidRPr="00984214">
        <w:rPr>
          <w:rFonts w:eastAsia="Times New Roman"/>
          <w:lang w:val="uk-UA" w:eastAsia="ru-RU"/>
        </w:rPr>
        <w:lastRenderedPageBreak/>
        <w:t xml:space="preserve">Облік товарів здійснюється на момент, коли вони ввозяться в межі або вивозяться за межі економічної території країни. </w:t>
      </w:r>
      <w:r w:rsidRPr="00984214">
        <w:rPr>
          <w:lang w:val="uk-UA"/>
        </w:rPr>
        <w:t xml:space="preserve">Межі статистичної території країни збігаються з її економічною територією. </w:t>
      </w:r>
    </w:p>
    <w:p w:rsidR="00207535" w:rsidRPr="00984214" w:rsidRDefault="00207535" w:rsidP="00207535">
      <w:pPr>
        <w:spacing w:before="100" w:after="0" w:line="240" w:lineRule="auto"/>
        <w:jc w:val="both"/>
        <w:rPr>
          <w:lang w:val="uk-UA"/>
        </w:rPr>
      </w:pPr>
      <w:r w:rsidRPr="00984214">
        <w:rPr>
          <w:lang w:val="uk-UA"/>
        </w:rPr>
        <w:t xml:space="preserve">Для обліку експорту-імпорту товарів застосовується Українська класифікація товарів зовнішньоекономічної діяльності (УКТ ЗЕД): </w:t>
      </w:r>
      <w:hyperlink r:id="rId12" w:history="1">
        <w:r w:rsidRPr="00984214">
          <w:rPr>
            <w:rStyle w:val="a7"/>
            <w:color w:val="auto"/>
            <w:lang w:val="uk-UA"/>
          </w:rPr>
          <w:t>http://ukrstat.gov.ua/klasf/nac_kls/op_ukzed_2016.htm</w:t>
        </w:r>
      </w:hyperlink>
    </w:p>
    <w:p w:rsidR="001804F8" w:rsidRDefault="001804F8" w:rsidP="001804F8">
      <w:pPr>
        <w:spacing w:before="100" w:after="0" w:line="240" w:lineRule="auto"/>
        <w:jc w:val="both"/>
        <w:rPr>
          <w:lang w:val="uk-UA"/>
        </w:rPr>
      </w:pPr>
      <w:bookmarkStart w:id="0" w:name="_Hlk103330988"/>
      <w:r w:rsidRPr="00984214">
        <w:rPr>
          <w:lang w:val="uk-UA"/>
        </w:rPr>
        <w:t xml:space="preserve">Статистична вартість розраховується шляхом перерахунку вартості товарів у долари США за курсом, установленим НБУ на день оформлення митних декларацій. Для товарів, які подаються за </w:t>
      </w:r>
      <w:r w:rsidRPr="00BB36A6">
        <w:rPr>
          <w:lang w:val="uk-UA"/>
        </w:rPr>
        <w:t>статистичним звітом, перерахунок вартості товарів у долари США здійснюється за середньоквартальним курсом, розрахованим на основі щоденних офіційних курсів валют, установлених НБУ</w:t>
      </w:r>
      <w:r>
        <w:rPr>
          <w:lang w:val="uk-UA"/>
        </w:rPr>
        <w:t>.</w:t>
      </w:r>
      <w:r w:rsidRPr="00BB36A6">
        <w:rPr>
          <w:lang w:val="uk-UA"/>
        </w:rPr>
        <w:t xml:space="preserve"> </w:t>
      </w:r>
    </w:p>
    <w:bookmarkEnd w:id="0"/>
    <w:p w:rsidR="001804F8" w:rsidRDefault="001804F8" w:rsidP="001804F8">
      <w:pPr>
        <w:spacing w:before="100" w:after="0" w:line="240" w:lineRule="auto"/>
        <w:jc w:val="both"/>
        <w:rPr>
          <w:lang w:val="uk-UA"/>
        </w:rPr>
      </w:pPr>
      <w:r w:rsidRPr="002E1A0F">
        <w:t>На період запровадження правового режиму воєнного стану в Україні інформацію за результатами державного статистичного спостереження щодо зовнішньої торгівлі товарами органи державної статистики формують по Україні в цілому та регіонах, за товарною структурою (за географічною структурою інформація не формується).</w:t>
      </w:r>
    </w:p>
    <w:p w:rsidR="001804F8" w:rsidRPr="002E1A0F" w:rsidRDefault="001804F8" w:rsidP="001804F8">
      <w:pPr>
        <w:spacing w:before="100" w:after="0" w:line="240" w:lineRule="auto"/>
        <w:jc w:val="both"/>
        <w:rPr>
          <w:lang w:val="uk-UA"/>
        </w:rPr>
      </w:pPr>
    </w:p>
    <w:p w:rsidR="001804F8" w:rsidRPr="002E1A0F" w:rsidRDefault="001804F8" w:rsidP="001804F8">
      <w:pPr>
        <w:spacing w:after="0" w:line="240" w:lineRule="auto"/>
        <w:jc w:val="both"/>
        <w:rPr>
          <w:lang w:val="uk-UA"/>
        </w:rPr>
      </w:pPr>
      <w:r w:rsidRPr="002E1A0F">
        <w:t xml:space="preserve">Методологічні положення: </w:t>
      </w:r>
      <w:hyperlink r:id="rId13" w:history="1">
        <w:r w:rsidRPr="002E1A0F">
          <w:rPr>
            <w:rStyle w:val="a7"/>
          </w:rPr>
          <w:t>http://ukrstat.gov.ua/metod_polog/metod_doc/2017/354/mp_ztt.zip</w:t>
        </w:r>
      </w:hyperlink>
    </w:p>
    <w:p w:rsidR="001804F8" w:rsidRPr="002E1A0F" w:rsidRDefault="001804F8" w:rsidP="001804F8">
      <w:pPr>
        <w:pStyle w:val="ad"/>
        <w:spacing w:before="100" w:line="230" w:lineRule="auto"/>
        <w:jc w:val="both"/>
        <w:rPr>
          <w:rFonts w:ascii="Calibri" w:hAnsi="Calibri"/>
          <w:sz w:val="22"/>
          <w:szCs w:val="22"/>
          <w:lang w:eastAsia="ru-RU"/>
        </w:rPr>
      </w:pPr>
      <w:r w:rsidRPr="00207535">
        <w:rPr>
          <w:rFonts w:ascii="Calibri" w:hAnsi="Calibri"/>
          <w:sz w:val="22"/>
          <w:szCs w:val="22"/>
          <w:lang w:val="uk-UA" w:eastAsia="ru-RU"/>
        </w:rPr>
        <w:t>Сезонне коригування динамічного ряду обсягів експорту-імпорту товарів здійснюється за допомогою програми "</w:t>
      </w:r>
      <w:r w:rsidRPr="002E1A0F">
        <w:rPr>
          <w:rFonts w:ascii="Calibri" w:hAnsi="Calibri"/>
          <w:sz w:val="22"/>
          <w:szCs w:val="22"/>
          <w:lang w:eastAsia="ru-RU"/>
        </w:rPr>
        <w:t>Demetra</w:t>
      </w:r>
      <w:r w:rsidRPr="00207535">
        <w:rPr>
          <w:rFonts w:ascii="Calibri" w:hAnsi="Calibri"/>
          <w:sz w:val="22"/>
          <w:szCs w:val="22"/>
          <w:lang w:val="uk-UA" w:eastAsia="ru-RU"/>
        </w:rPr>
        <w:t xml:space="preserve">+", використовуючи метод </w:t>
      </w:r>
      <w:r w:rsidRPr="002E1A0F">
        <w:rPr>
          <w:rFonts w:ascii="Calibri" w:hAnsi="Calibri"/>
          <w:sz w:val="22"/>
          <w:szCs w:val="22"/>
          <w:lang w:eastAsia="ru-RU"/>
        </w:rPr>
        <w:t>TRAMO</w:t>
      </w:r>
      <w:r w:rsidRPr="00207535">
        <w:rPr>
          <w:rFonts w:ascii="Calibri" w:hAnsi="Calibri"/>
          <w:sz w:val="22"/>
          <w:szCs w:val="22"/>
          <w:lang w:val="uk-UA" w:eastAsia="ru-RU"/>
        </w:rPr>
        <w:t>/</w:t>
      </w:r>
      <w:r w:rsidRPr="002E1A0F">
        <w:rPr>
          <w:rFonts w:ascii="Calibri" w:hAnsi="Calibri"/>
          <w:sz w:val="22"/>
          <w:szCs w:val="22"/>
          <w:lang w:eastAsia="ru-RU"/>
        </w:rPr>
        <w:t>SEATS</w:t>
      </w:r>
      <w:r w:rsidRPr="00207535">
        <w:rPr>
          <w:rFonts w:ascii="Calibri" w:hAnsi="Calibri"/>
          <w:sz w:val="22"/>
          <w:szCs w:val="22"/>
          <w:lang w:val="uk-UA" w:eastAsia="ru-RU"/>
        </w:rPr>
        <w:t xml:space="preserve">. </w:t>
      </w:r>
      <w:r w:rsidRPr="002E1A0F">
        <w:rPr>
          <w:rFonts w:ascii="Calibri" w:hAnsi="Calibri"/>
          <w:sz w:val="22"/>
          <w:szCs w:val="22"/>
          <w:lang w:eastAsia="ru-RU"/>
        </w:rPr>
        <w:t>Показники розраховуються в цілому по Україні.  Методика сезонного коригування вартості експорту-імпорту товарів:</w:t>
      </w:r>
    </w:p>
    <w:p w:rsidR="001804F8" w:rsidRPr="002E1A0F" w:rsidRDefault="00A406BE" w:rsidP="001804F8">
      <w:pPr>
        <w:spacing w:after="0" w:line="240" w:lineRule="auto"/>
        <w:jc w:val="both"/>
      </w:pPr>
      <w:hyperlink r:id="rId14" w:history="1">
        <w:r w:rsidR="001804F8" w:rsidRPr="002E1A0F">
          <w:rPr>
            <w:rStyle w:val="a7"/>
          </w:rPr>
          <w:t>http://ukrstat.gov.ua/metod_polog/metod_doc/2016/240/m_sk_veit.zip</w:t>
        </w:r>
      </w:hyperlink>
    </w:p>
    <w:p w:rsidR="001804F8" w:rsidRPr="002E1A0F" w:rsidRDefault="001804F8" w:rsidP="001804F8">
      <w:pPr>
        <w:spacing w:after="0" w:line="240" w:lineRule="auto"/>
        <w:jc w:val="both"/>
        <w:rPr>
          <w:lang w:val="uk-UA"/>
        </w:rPr>
      </w:pPr>
    </w:p>
    <w:p w:rsidR="001804F8" w:rsidRPr="00984214" w:rsidRDefault="001804F8" w:rsidP="001804F8">
      <w:pPr>
        <w:spacing w:after="0" w:line="240" w:lineRule="auto"/>
        <w:jc w:val="both"/>
        <w:rPr>
          <w:lang w:val="uk-UA"/>
        </w:rPr>
      </w:pPr>
      <w:r w:rsidRPr="00984214">
        <w:rPr>
          <w:u w:val="single"/>
          <w:lang w:val="uk-UA"/>
        </w:rPr>
        <w:t xml:space="preserve">Перегляд даних </w:t>
      </w:r>
    </w:p>
    <w:p w:rsidR="001804F8" w:rsidRPr="00984214" w:rsidRDefault="001804F8" w:rsidP="001804F8">
      <w:pPr>
        <w:spacing w:after="0" w:line="240" w:lineRule="auto"/>
        <w:jc w:val="both"/>
        <w:rPr>
          <w:lang w:val="uk-UA"/>
        </w:rPr>
      </w:pPr>
      <w:r w:rsidRPr="00984214">
        <w:rPr>
          <w:lang w:val="uk-UA"/>
        </w:rPr>
        <w:t xml:space="preserve">Інформація щодо статистики зовнішньої торгівлі товарами оприлюднюється щомісячно та є оперативною. </w:t>
      </w:r>
    </w:p>
    <w:p w:rsidR="001804F8" w:rsidRPr="00984214" w:rsidRDefault="001804F8" w:rsidP="001804F8">
      <w:pPr>
        <w:spacing w:after="0" w:line="240" w:lineRule="auto"/>
        <w:jc w:val="both"/>
        <w:rPr>
          <w:lang w:val="uk-UA"/>
        </w:rPr>
      </w:pPr>
      <w:r w:rsidRPr="00984214">
        <w:rPr>
          <w:lang w:val="uk-UA"/>
        </w:rPr>
        <w:t xml:space="preserve">Оновлення даних здійснюється щомісячно відповідно до змін у митних деклараціях. У цьому експрес-випуску уточнено дані за попередній звітний період. Остаточне уточнення даних проводиться в червні наступного за звітним року. </w:t>
      </w:r>
    </w:p>
    <w:p w:rsidR="001804F8" w:rsidRPr="00984214" w:rsidRDefault="001804F8" w:rsidP="001804F8">
      <w:pPr>
        <w:spacing w:after="160" w:line="259" w:lineRule="auto"/>
        <w:jc w:val="both"/>
        <w:rPr>
          <w:lang w:val="uk-UA" w:eastAsia="uk-UA"/>
        </w:rPr>
      </w:pPr>
    </w:p>
    <w:p w:rsidR="001804F8" w:rsidRPr="00984214" w:rsidRDefault="001804F8" w:rsidP="001804F8">
      <w:pPr>
        <w:spacing w:after="0" w:line="240" w:lineRule="auto"/>
        <w:jc w:val="both"/>
        <w:rPr>
          <w:lang w:val="uk-UA" w:eastAsia="uk-UA"/>
        </w:rPr>
      </w:pPr>
      <w:r w:rsidRPr="00984214">
        <w:rPr>
          <w:u w:val="single"/>
          <w:lang w:val="uk-UA" w:eastAsia="uk-UA"/>
        </w:rPr>
        <w:t>Розбіжності у даних, які оприлюднюються Держстатом, ДФС та НБУ</w:t>
      </w:r>
    </w:p>
    <w:p w:rsidR="001804F8" w:rsidRPr="00984214" w:rsidRDefault="001804F8" w:rsidP="001804F8">
      <w:pPr>
        <w:spacing w:after="0" w:line="240" w:lineRule="auto"/>
        <w:jc w:val="both"/>
        <w:rPr>
          <w:lang w:val="uk-UA" w:eastAsia="uk-UA"/>
        </w:rPr>
      </w:pPr>
      <w:r w:rsidRPr="00984214">
        <w:rPr>
          <w:lang w:val="uk-UA" w:eastAsia="uk-UA"/>
        </w:rPr>
        <w:t xml:space="preserve">Роз'яснення Держстату, ДФС та Національного банку щодо можливих розбіжностей у даних із зовнішньої торгівлі товарами та послугами, які оприлюднюються зазначеними суб’єктами: </w:t>
      </w:r>
      <w:hyperlink r:id="rId15" w:history="1">
        <w:r w:rsidRPr="00984214">
          <w:rPr>
            <w:rStyle w:val="a7"/>
            <w:lang w:val="uk-UA" w:eastAsia="uk-UA"/>
          </w:rPr>
          <w:t>http://ukrstat.gov.ua/metod_polog/metod_doc/2015/roz_zt/roz_zt.zip</w:t>
        </w:r>
      </w:hyperlink>
      <w:r w:rsidRPr="00984214">
        <w:rPr>
          <w:u w:val="single"/>
          <w:lang w:val="uk-UA" w:eastAsia="uk-UA"/>
        </w:rPr>
        <w:t>.</w:t>
      </w:r>
    </w:p>
    <w:p w:rsidR="001804F8" w:rsidRPr="00984214" w:rsidRDefault="001804F8" w:rsidP="001804F8">
      <w:pPr>
        <w:spacing w:after="0" w:line="240" w:lineRule="auto"/>
        <w:jc w:val="both"/>
        <w:rPr>
          <w:u w:val="single"/>
          <w:lang w:val="uk-UA"/>
        </w:rPr>
      </w:pPr>
    </w:p>
    <w:p w:rsidR="001804F8" w:rsidRPr="00984214" w:rsidRDefault="001804F8" w:rsidP="001804F8">
      <w:pPr>
        <w:spacing w:after="0" w:line="240" w:lineRule="auto"/>
        <w:jc w:val="both"/>
        <w:rPr>
          <w:u w:val="single"/>
          <w:lang w:val="uk-UA"/>
        </w:rPr>
      </w:pPr>
    </w:p>
    <w:p w:rsidR="00207535" w:rsidRPr="00984214" w:rsidRDefault="00207535" w:rsidP="00207535">
      <w:pPr>
        <w:spacing w:after="0" w:line="240" w:lineRule="auto"/>
        <w:jc w:val="both"/>
        <w:rPr>
          <w:u w:val="single"/>
          <w:lang w:val="uk-UA"/>
        </w:rPr>
      </w:pPr>
    </w:p>
    <w:p w:rsidR="00207535" w:rsidRPr="00984214" w:rsidRDefault="00207535" w:rsidP="00207535">
      <w:pPr>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Pr="00984214" w:rsidRDefault="00207535" w:rsidP="00207535">
      <w:pPr>
        <w:tabs>
          <w:tab w:val="left" w:pos="6357"/>
        </w:tabs>
        <w:spacing w:after="0" w:line="240" w:lineRule="auto"/>
        <w:jc w:val="both"/>
        <w:rPr>
          <w:u w:val="single"/>
          <w:lang w:val="uk-UA"/>
        </w:rPr>
      </w:pPr>
    </w:p>
    <w:p w:rsidR="00207535" w:rsidRDefault="00207535"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Default="006453FA" w:rsidP="00207535">
      <w:pPr>
        <w:spacing w:after="0" w:line="240" w:lineRule="auto"/>
        <w:jc w:val="both"/>
        <w:rPr>
          <w:u w:val="single"/>
          <w:lang w:val="uk-UA"/>
        </w:rPr>
      </w:pPr>
    </w:p>
    <w:p w:rsidR="006453FA" w:rsidRPr="00984214" w:rsidRDefault="006453FA" w:rsidP="00207535">
      <w:pPr>
        <w:spacing w:after="0" w:line="240" w:lineRule="auto"/>
        <w:jc w:val="both"/>
        <w:rPr>
          <w:u w:val="single"/>
          <w:lang w:val="uk-UA"/>
        </w:rPr>
      </w:pPr>
    </w:p>
    <w:p w:rsidR="00207535" w:rsidRPr="00984214" w:rsidRDefault="00207535" w:rsidP="00207535">
      <w:pPr>
        <w:spacing w:after="0" w:line="240" w:lineRule="auto"/>
        <w:rPr>
          <w:sz w:val="26"/>
          <w:szCs w:val="26"/>
          <w:lang w:val="uk-UA" w:eastAsia="ru-RU"/>
        </w:rPr>
      </w:pPr>
    </w:p>
    <w:p w:rsidR="00207535" w:rsidRPr="00984214" w:rsidRDefault="00207535" w:rsidP="00207535">
      <w:pPr>
        <w:spacing w:after="0" w:line="240" w:lineRule="auto"/>
        <w:rPr>
          <w:sz w:val="20"/>
          <w:szCs w:val="20"/>
          <w:lang w:val="uk-UA" w:eastAsia="ru-RU"/>
        </w:rPr>
      </w:pPr>
      <w:r w:rsidRPr="00984214">
        <w:rPr>
          <w:sz w:val="20"/>
          <w:szCs w:val="20"/>
          <w:lang w:val="uk-UA"/>
        </w:rPr>
        <w:t xml:space="preserve">Довідка : тел. (048) 722-35-90; e-mail: </w:t>
      </w:r>
      <w:hyperlink r:id="rId16" w:history="1">
        <w:r w:rsidRPr="00984214">
          <w:rPr>
            <w:sz w:val="20"/>
            <w:szCs w:val="20"/>
            <w:u w:val="single"/>
            <w:lang w:val="uk-UA"/>
          </w:rPr>
          <w:t>gus@od.ukrstat.gov.ua</w:t>
        </w:r>
      </w:hyperlink>
    </w:p>
    <w:p w:rsidR="00207535" w:rsidRPr="00984214" w:rsidRDefault="00207535" w:rsidP="00207535">
      <w:pPr>
        <w:spacing w:after="0" w:line="240" w:lineRule="auto"/>
        <w:rPr>
          <w:sz w:val="20"/>
          <w:szCs w:val="20"/>
          <w:lang w:val="uk-UA"/>
        </w:rPr>
      </w:pPr>
      <w:r w:rsidRPr="00984214">
        <w:rPr>
          <w:sz w:val="20"/>
          <w:szCs w:val="20"/>
          <w:lang w:val="uk-UA" w:eastAsia="ru-RU"/>
        </w:rPr>
        <w:t xml:space="preserve">Більше інформації: </w:t>
      </w:r>
      <w:hyperlink r:id="rId17" w:history="1">
        <w:r w:rsidRPr="00984214">
          <w:rPr>
            <w:sz w:val="20"/>
            <w:u w:val="single"/>
            <w:lang w:val="uk-UA"/>
          </w:rPr>
          <w:t>http://od.ukrstat.gov.ua/stat_info/zed.htm</w:t>
        </w:r>
      </w:hyperlink>
      <w:r w:rsidRPr="00984214">
        <w:rPr>
          <w:sz w:val="20"/>
          <w:u w:val="single"/>
          <w:lang w:val="uk-UA"/>
        </w:rPr>
        <w:t xml:space="preserve">  </w:t>
      </w:r>
    </w:p>
    <w:p w:rsidR="00207535" w:rsidRPr="00984214" w:rsidRDefault="00207535" w:rsidP="00207535">
      <w:pPr>
        <w:spacing w:after="0" w:line="240" w:lineRule="auto"/>
        <w:rPr>
          <w:sz w:val="26"/>
          <w:szCs w:val="26"/>
          <w:lang w:val="uk-UA" w:eastAsia="ru-RU"/>
        </w:rPr>
      </w:pPr>
      <w:r w:rsidRPr="00984214">
        <w:rPr>
          <w:sz w:val="20"/>
          <w:szCs w:val="20"/>
          <w:lang w:val="uk-UA" w:eastAsia="ru-RU"/>
        </w:rPr>
        <w:sym w:font="Symbol" w:char="F0E3"/>
      </w:r>
      <w:r w:rsidRPr="00984214">
        <w:rPr>
          <w:sz w:val="20"/>
          <w:szCs w:val="20"/>
          <w:lang w:val="uk-UA" w:eastAsia="ru-RU"/>
        </w:rPr>
        <w:t xml:space="preserve"> Головне управління статистики в Одеській області, 2022   </w:t>
      </w:r>
    </w:p>
    <w:p w:rsidR="00B90451" w:rsidRPr="00984214" w:rsidRDefault="00207535" w:rsidP="00207535">
      <w:pPr>
        <w:spacing w:after="0" w:line="240" w:lineRule="exact"/>
        <w:jc w:val="right"/>
        <w:rPr>
          <w:sz w:val="24"/>
          <w:szCs w:val="24"/>
          <w:lang w:val="uk-UA" w:eastAsia="ru-RU"/>
        </w:rPr>
      </w:pPr>
      <w:r w:rsidRPr="00984214">
        <w:rPr>
          <w:lang w:val="uk-UA"/>
        </w:rPr>
        <w:br w:type="page"/>
      </w:r>
      <w:r w:rsidRPr="00984214">
        <w:rPr>
          <w:sz w:val="24"/>
          <w:szCs w:val="24"/>
          <w:lang w:val="uk-UA" w:eastAsia="ru-RU"/>
        </w:rPr>
        <w:lastRenderedPageBreak/>
        <w:t xml:space="preserve"> </w:t>
      </w:r>
    </w:p>
    <w:p w:rsidR="0051698A" w:rsidRPr="00984214" w:rsidRDefault="00207535" w:rsidP="0051698A">
      <w:pPr>
        <w:spacing w:after="0" w:line="240" w:lineRule="exact"/>
        <w:jc w:val="right"/>
        <w:rPr>
          <w:sz w:val="24"/>
          <w:szCs w:val="24"/>
          <w:lang w:val="uk-UA" w:eastAsia="ru-RU"/>
        </w:rPr>
      </w:pPr>
      <w:r>
        <w:rPr>
          <w:sz w:val="24"/>
          <w:szCs w:val="24"/>
          <w:lang w:val="uk-UA" w:eastAsia="ru-RU"/>
        </w:rPr>
        <w:t xml:space="preserve">Додаток </w:t>
      </w:r>
    </w:p>
    <w:p w:rsidR="0051698A" w:rsidRPr="00984214" w:rsidRDefault="0051698A" w:rsidP="0051698A">
      <w:pPr>
        <w:keepNext/>
        <w:spacing w:after="0" w:line="240" w:lineRule="auto"/>
        <w:jc w:val="center"/>
        <w:outlineLvl w:val="5"/>
        <w:rPr>
          <w:rFonts w:eastAsia="Times New Roman" w:cs="Calibri"/>
          <w:b/>
          <w:bCs/>
          <w:sz w:val="24"/>
          <w:szCs w:val="24"/>
          <w:lang w:val="uk-UA" w:eastAsia="ru-RU"/>
        </w:rPr>
      </w:pPr>
      <w:r w:rsidRPr="00984214">
        <w:rPr>
          <w:rFonts w:eastAsia="Times New Roman" w:cs="Calibri"/>
          <w:b/>
          <w:bCs/>
          <w:sz w:val="24"/>
          <w:szCs w:val="24"/>
          <w:lang w:val="uk-UA" w:eastAsia="ru-RU"/>
        </w:rPr>
        <w:t>Товарна структура зовнішньої торгівлі Одеської області</w:t>
      </w:r>
    </w:p>
    <w:p w:rsidR="0051698A" w:rsidRPr="00984214" w:rsidRDefault="00A7273D" w:rsidP="0051698A">
      <w:pPr>
        <w:keepNext/>
        <w:spacing w:after="0" w:line="240" w:lineRule="auto"/>
        <w:jc w:val="center"/>
        <w:outlineLvl w:val="5"/>
        <w:rPr>
          <w:b/>
          <w:bCs/>
          <w:sz w:val="24"/>
          <w:szCs w:val="24"/>
          <w:lang w:val="uk-UA" w:eastAsia="ru-RU"/>
        </w:rPr>
      </w:pPr>
      <w:r w:rsidRPr="00984214">
        <w:rPr>
          <w:b/>
          <w:bCs/>
          <w:sz w:val="24"/>
          <w:szCs w:val="24"/>
          <w:lang w:val="uk-UA" w:eastAsia="ru-RU"/>
        </w:rPr>
        <w:t>у січні</w:t>
      </w:r>
      <w:r w:rsidR="00A76987" w:rsidRPr="00984214">
        <w:rPr>
          <w:b/>
          <w:bCs/>
          <w:sz w:val="24"/>
          <w:szCs w:val="24"/>
          <w:lang w:val="uk-UA" w:eastAsia="ru-RU"/>
        </w:rPr>
        <w:t>–</w:t>
      </w:r>
      <w:r w:rsidR="00611E04">
        <w:rPr>
          <w:b/>
          <w:bCs/>
          <w:sz w:val="24"/>
          <w:szCs w:val="24"/>
          <w:lang w:val="uk-UA" w:eastAsia="ru-RU"/>
        </w:rPr>
        <w:t>серпні</w:t>
      </w:r>
      <w:r w:rsidR="00225FF1">
        <w:rPr>
          <w:b/>
          <w:bCs/>
          <w:sz w:val="24"/>
          <w:szCs w:val="24"/>
          <w:lang w:val="uk-UA" w:eastAsia="ru-RU"/>
        </w:rPr>
        <w:t xml:space="preserve"> </w:t>
      </w:r>
      <w:r w:rsidR="0051698A" w:rsidRPr="00984214">
        <w:rPr>
          <w:b/>
          <w:bCs/>
          <w:sz w:val="24"/>
          <w:szCs w:val="24"/>
          <w:lang w:val="uk-UA" w:eastAsia="ru-RU"/>
        </w:rPr>
        <w:t>202</w:t>
      </w:r>
      <w:r w:rsidRPr="00984214">
        <w:rPr>
          <w:b/>
          <w:bCs/>
          <w:sz w:val="24"/>
          <w:szCs w:val="24"/>
          <w:lang w:val="uk-UA" w:eastAsia="ru-RU"/>
        </w:rPr>
        <w:t>2</w:t>
      </w:r>
      <w:r w:rsidR="0051698A" w:rsidRPr="00984214">
        <w:rPr>
          <w:b/>
          <w:bCs/>
          <w:sz w:val="24"/>
          <w:szCs w:val="24"/>
          <w:lang w:val="uk-UA" w:eastAsia="ru-RU"/>
        </w:rPr>
        <w:t xml:space="preserve"> ро</w:t>
      </w:r>
      <w:r w:rsidRPr="00984214">
        <w:rPr>
          <w:b/>
          <w:bCs/>
          <w:sz w:val="24"/>
          <w:szCs w:val="24"/>
          <w:lang w:val="uk-UA" w:eastAsia="ru-RU"/>
        </w:rPr>
        <w:t>ку</w:t>
      </w:r>
    </w:p>
    <w:p w:rsidR="0051698A" w:rsidRPr="00984214" w:rsidRDefault="0051698A" w:rsidP="0051698A">
      <w:pPr>
        <w:spacing w:after="0" w:line="240" w:lineRule="auto"/>
        <w:rPr>
          <w:lang w:val="uk-UA"/>
        </w:rPr>
      </w:pPr>
    </w:p>
    <w:tbl>
      <w:tblPr>
        <w:tblW w:w="9922" w:type="dxa"/>
        <w:tblInd w:w="108" w:type="dxa"/>
        <w:tblLayout w:type="fixed"/>
        <w:tblLook w:val="0000" w:firstRow="0" w:lastRow="0" w:firstColumn="0" w:lastColumn="0" w:noHBand="0" w:noVBand="0"/>
      </w:tblPr>
      <w:tblGrid>
        <w:gridCol w:w="2410"/>
        <w:gridCol w:w="992"/>
        <w:gridCol w:w="1276"/>
        <w:gridCol w:w="1134"/>
        <w:gridCol w:w="851"/>
        <w:gridCol w:w="1275"/>
        <w:gridCol w:w="1134"/>
        <w:gridCol w:w="850"/>
      </w:tblGrid>
      <w:tr w:rsidR="0051698A" w:rsidRPr="00984214" w:rsidTr="00077738">
        <w:trPr>
          <w:trHeight w:val="255"/>
        </w:trPr>
        <w:tc>
          <w:tcPr>
            <w:tcW w:w="2410" w:type="dxa"/>
            <w:vMerge w:val="restart"/>
            <w:tcBorders>
              <w:top w:val="single" w:sz="4" w:space="0" w:color="auto"/>
              <w:left w:val="single" w:sz="4" w:space="0" w:color="000000"/>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Назва</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товарів</w:t>
            </w:r>
          </w:p>
        </w:tc>
        <w:tc>
          <w:tcPr>
            <w:tcW w:w="992" w:type="dxa"/>
            <w:vMerge w:val="restart"/>
            <w:tcBorders>
              <w:top w:val="single" w:sz="4" w:space="0" w:color="auto"/>
              <w:left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Розділ та код УКТ</w:t>
            </w:r>
            <w:r w:rsidR="00A406BE">
              <w:rPr>
                <w:rFonts w:eastAsia="Times New Roman"/>
                <w:bCs/>
                <w:lang w:val="uk-UA" w:eastAsia="ru-RU"/>
              </w:rPr>
              <w:t xml:space="preserve"> </w:t>
            </w:r>
            <w:r w:rsidRPr="00984214">
              <w:rPr>
                <w:rFonts w:eastAsia="Times New Roman"/>
                <w:bCs/>
                <w:lang w:val="uk-UA" w:eastAsia="ru-RU"/>
              </w:rPr>
              <w:t>ЗЕД</w:t>
            </w:r>
          </w:p>
        </w:tc>
        <w:tc>
          <w:tcPr>
            <w:tcW w:w="326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Експорт</w:t>
            </w:r>
          </w:p>
        </w:tc>
        <w:tc>
          <w:tcPr>
            <w:tcW w:w="32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Імпорт</w:t>
            </w:r>
          </w:p>
        </w:tc>
      </w:tr>
      <w:tr w:rsidR="0051698A" w:rsidRPr="00984214" w:rsidTr="00077738">
        <w:trPr>
          <w:trHeight w:val="958"/>
        </w:trPr>
        <w:tc>
          <w:tcPr>
            <w:tcW w:w="2410" w:type="dxa"/>
            <w:vMerge/>
            <w:tcBorders>
              <w:left w:val="single" w:sz="4" w:space="0" w:color="000000"/>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p>
        </w:tc>
        <w:tc>
          <w:tcPr>
            <w:tcW w:w="992" w:type="dxa"/>
            <w:vMerge/>
            <w:tcBorders>
              <w:left w:val="single" w:sz="4" w:space="0" w:color="auto"/>
              <w:bottom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lang w:val="uk-UA" w:eastAsia="ru-RU"/>
              </w:rPr>
              <w:t>тис.дол. США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101173" w:rsidRPr="0079600B" w:rsidRDefault="00101173" w:rsidP="00101173">
            <w:pPr>
              <w:spacing w:after="0" w:line="240" w:lineRule="exact"/>
              <w:ind w:left="-108" w:right="-108" w:firstLine="108"/>
              <w:jc w:val="center"/>
              <w:rPr>
                <w:lang w:val="uk-UA" w:eastAsia="ru-RU"/>
              </w:rPr>
            </w:pPr>
            <w:r w:rsidRPr="0079600B">
              <w:rPr>
                <w:lang w:val="uk-UA" w:eastAsia="ru-RU"/>
              </w:rPr>
              <w:t>у % до</w:t>
            </w:r>
          </w:p>
          <w:p w:rsidR="00101173" w:rsidRPr="0079600B" w:rsidRDefault="00101173" w:rsidP="00101173">
            <w:pPr>
              <w:spacing w:after="0" w:line="240" w:lineRule="exact"/>
              <w:ind w:left="-108" w:right="-108" w:firstLine="108"/>
              <w:jc w:val="center"/>
              <w:rPr>
                <w:lang w:val="uk-UA" w:eastAsia="ru-RU"/>
              </w:rPr>
            </w:pPr>
            <w:r w:rsidRPr="0079600B">
              <w:rPr>
                <w:lang w:val="uk-UA" w:eastAsia="ru-RU"/>
              </w:rPr>
              <w:t>січня–</w:t>
            </w:r>
            <w:r w:rsidR="00611E04">
              <w:rPr>
                <w:lang w:val="uk-UA" w:eastAsia="ru-RU"/>
              </w:rPr>
              <w:t>серпня</w:t>
            </w:r>
          </w:p>
          <w:p w:rsidR="0051698A" w:rsidRPr="00984214" w:rsidRDefault="00101173" w:rsidP="00101173">
            <w:pPr>
              <w:spacing w:after="0" w:line="240" w:lineRule="auto"/>
              <w:jc w:val="center"/>
              <w:rPr>
                <w:rFonts w:eastAsia="Times New Roman" w:cs="Calibri"/>
                <w:bCs/>
                <w:lang w:val="uk-UA" w:eastAsia="ru-RU"/>
              </w:rPr>
            </w:pPr>
            <w:r w:rsidRPr="0079600B">
              <w:rPr>
                <w:lang w:val="uk-UA" w:eastAsia="ru-RU"/>
              </w:rPr>
              <w:t>2021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cs="Calibri"/>
                <w:bCs/>
                <w:lang w:val="uk-UA" w:eastAsia="ru-RU"/>
              </w:rPr>
            </w:pPr>
            <w:r w:rsidRPr="00984214">
              <w:rPr>
                <w:rFonts w:eastAsia="Times New Roman" w:cs="Calibri"/>
                <w:bCs/>
                <w:lang w:val="uk-UA" w:eastAsia="ru-RU"/>
              </w:rPr>
              <w:t>у % до</w:t>
            </w:r>
          </w:p>
          <w:p w:rsidR="0051698A" w:rsidRPr="00984214" w:rsidRDefault="0051698A" w:rsidP="00F117BA">
            <w:pPr>
              <w:spacing w:after="0" w:line="240" w:lineRule="auto"/>
              <w:ind w:left="-57"/>
              <w:jc w:val="center"/>
              <w:rPr>
                <w:rFonts w:eastAsia="Times New Roman" w:cs="Calibri"/>
                <w:bCs/>
                <w:lang w:val="uk-UA" w:eastAsia="ru-RU"/>
              </w:rPr>
            </w:pPr>
            <w:r w:rsidRPr="00984214">
              <w:rPr>
                <w:rFonts w:eastAsia="Times New Roman" w:cs="Calibri"/>
                <w:bCs/>
                <w:lang w:val="uk-UA" w:eastAsia="ru-RU"/>
              </w:rPr>
              <w:t>загаль-ного</w:t>
            </w:r>
          </w:p>
          <w:p w:rsidR="0051698A" w:rsidRPr="00984214" w:rsidRDefault="0051698A" w:rsidP="0051698A">
            <w:pPr>
              <w:spacing w:after="0" w:line="240" w:lineRule="auto"/>
              <w:jc w:val="center"/>
              <w:rPr>
                <w:rFonts w:eastAsia="Times New Roman" w:cs="Calibri"/>
                <w:bCs/>
                <w:lang w:val="uk-UA" w:eastAsia="ru-RU"/>
              </w:rPr>
            </w:pPr>
            <w:r w:rsidRPr="00984214">
              <w:rPr>
                <w:rFonts w:eastAsia="Times New Roman" w:cs="Calibri"/>
                <w:bCs/>
                <w:lang w:val="uk-UA" w:eastAsia="ru-RU"/>
              </w:rPr>
              <w:t>обсягу</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cs="Calibri"/>
                <w:bCs/>
                <w:lang w:val="uk-UA" w:eastAsia="ru-RU"/>
              </w:rPr>
            </w:pPr>
            <w:r w:rsidRPr="00984214">
              <w:rPr>
                <w:rFonts w:cs="Calibri"/>
                <w:lang w:val="uk-UA" w:eastAsia="ru-RU"/>
              </w:rPr>
              <w:t>тис.дол. США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25FF1" w:rsidRPr="0079600B" w:rsidRDefault="00225FF1" w:rsidP="00225FF1">
            <w:pPr>
              <w:spacing w:after="0" w:line="240" w:lineRule="exact"/>
              <w:ind w:left="-108" w:right="-108" w:firstLine="108"/>
              <w:jc w:val="center"/>
              <w:rPr>
                <w:lang w:val="uk-UA" w:eastAsia="ru-RU"/>
              </w:rPr>
            </w:pPr>
            <w:r w:rsidRPr="0079600B">
              <w:rPr>
                <w:lang w:val="uk-UA" w:eastAsia="ru-RU"/>
              </w:rPr>
              <w:t>у % до</w:t>
            </w:r>
          </w:p>
          <w:p w:rsidR="00225FF1" w:rsidRPr="0079600B" w:rsidRDefault="00225FF1" w:rsidP="00225FF1">
            <w:pPr>
              <w:spacing w:after="0" w:line="240" w:lineRule="exact"/>
              <w:ind w:left="-108" w:right="-108" w:firstLine="108"/>
              <w:jc w:val="center"/>
              <w:rPr>
                <w:lang w:val="uk-UA" w:eastAsia="ru-RU"/>
              </w:rPr>
            </w:pPr>
            <w:r w:rsidRPr="0079600B">
              <w:rPr>
                <w:lang w:val="uk-UA" w:eastAsia="ru-RU"/>
              </w:rPr>
              <w:t>січня–</w:t>
            </w:r>
            <w:r w:rsidR="00611E04">
              <w:rPr>
                <w:lang w:val="uk-UA" w:eastAsia="ru-RU"/>
              </w:rPr>
              <w:t>серпня</w:t>
            </w:r>
          </w:p>
          <w:p w:rsidR="0051698A" w:rsidRPr="00984214" w:rsidRDefault="00225FF1" w:rsidP="00225FF1">
            <w:pPr>
              <w:spacing w:after="0" w:line="240" w:lineRule="auto"/>
              <w:jc w:val="center"/>
              <w:rPr>
                <w:rFonts w:eastAsia="Times New Roman" w:cs="Calibri"/>
                <w:bCs/>
                <w:lang w:val="uk-UA" w:eastAsia="ru-RU"/>
              </w:rPr>
            </w:pPr>
            <w:r w:rsidRPr="0079600B">
              <w:rPr>
                <w:lang w:val="uk-UA" w:eastAsia="ru-RU"/>
              </w:rPr>
              <w:t>2021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у % до</w:t>
            </w:r>
          </w:p>
          <w:p w:rsidR="0051698A" w:rsidRPr="00984214" w:rsidRDefault="0051698A" w:rsidP="00F117BA">
            <w:pPr>
              <w:spacing w:after="0" w:line="240" w:lineRule="auto"/>
              <w:ind w:left="-57"/>
              <w:jc w:val="center"/>
              <w:rPr>
                <w:rFonts w:eastAsia="Times New Roman"/>
                <w:bCs/>
                <w:lang w:val="uk-UA" w:eastAsia="ru-RU"/>
              </w:rPr>
            </w:pPr>
            <w:r w:rsidRPr="00984214">
              <w:rPr>
                <w:rFonts w:eastAsia="Times New Roman"/>
                <w:bCs/>
                <w:lang w:val="uk-UA" w:eastAsia="ru-RU"/>
              </w:rPr>
              <w:t>загаль-ного</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обсягу</w:t>
            </w:r>
          </w:p>
        </w:tc>
      </w:tr>
      <w:tr w:rsidR="00B469C1" w:rsidRPr="00984214" w:rsidTr="00B469C1">
        <w:trPr>
          <w:trHeight w:val="227"/>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B469C1" w:rsidRPr="00984214" w:rsidRDefault="00B469C1" w:rsidP="00604C04">
            <w:pPr>
              <w:spacing w:after="0" w:line="240" w:lineRule="auto"/>
              <w:ind w:left="-85"/>
              <w:rPr>
                <w:rFonts w:eastAsia="Times New Roman"/>
                <w:b/>
                <w:bCs/>
                <w:lang w:val="uk-UA" w:eastAsia="ru-RU"/>
              </w:rPr>
            </w:pPr>
            <w:r w:rsidRPr="00984214">
              <w:rPr>
                <w:rFonts w:eastAsia="Times New Roman"/>
                <w:b/>
                <w:bCs/>
                <w:lang w:val="uk-UA" w:eastAsia="ru-RU"/>
              </w:rPr>
              <w:t>Усього</w:t>
            </w:r>
          </w:p>
        </w:tc>
        <w:tc>
          <w:tcPr>
            <w:tcW w:w="992" w:type="dxa"/>
            <w:tcBorders>
              <w:top w:val="dotted" w:sz="4" w:space="0" w:color="000000"/>
              <w:left w:val="dotted" w:sz="4" w:space="0" w:color="000000"/>
              <w:bottom w:val="dotted" w:sz="4" w:space="0" w:color="000000"/>
              <w:right w:val="dotted" w:sz="4" w:space="0" w:color="000000"/>
            </w:tcBorders>
          </w:tcPr>
          <w:p w:rsidR="00B469C1" w:rsidRPr="00984214" w:rsidRDefault="00B469C1" w:rsidP="00604C04">
            <w:pPr>
              <w:spacing w:after="0" w:line="240" w:lineRule="auto"/>
              <w:ind w:left="-85"/>
              <w:rPr>
                <w:rFonts w:eastAsia="Times New Roman"/>
                <w:b/>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vAlign w:val="bottom"/>
          </w:tcPr>
          <w:p w:rsidR="00B469C1" w:rsidRPr="00B469C1" w:rsidRDefault="00B469C1" w:rsidP="00B469C1">
            <w:pPr>
              <w:spacing w:after="0" w:line="240" w:lineRule="exact"/>
              <w:jc w:val="right"/>
              <w:rPr>
                <w:rFonts w:cs="Calibri"/>
                <w:b/>
                <w:bCs/>
              </w:rPr>
            </w:pPr>
            <w:r w:rsidRPr="00B469C1">
              <w:rPr>
                <w:rFonts w:cs="Calibri"/>
                <w:b/>
                <w:bCs/>
              </w:rPr>
              <w:t>1301087,3</w:t>
            </w:r>
          </w:p>
        </w:tc>
        <w:tc>
          <w:tcPr>
            <w:tcW w:w="1134" w:type="dxa"/>
            <w:tcBorders>
              <w:top w:val="dotted" w:sz="4" w:space="0" w:color="000000"/>
              <w:left w:val="dotted" w:sz="4" w:space="0" w:color="000000"/>
              <w:bottom w:val="dotted" w:sz="4" w:space="0" w:color="000000"/>
              <w:right w:val="dotted" w:sz="4" w:space="0" w:color="000000"/>
            </w:tcBorders>
            <w:vAlign w:val="bottom"/>
          </w:tcPr>
          <w:p w:rsidR="00B469C1" w:rsidRPr="00B469C1" w:rsidRDefault="00B469C1" w:rsidP="00B469C1">
            <w:pPr>
              <w:spacing w:after="0" w:line="240" w:lineRule="exact"/>
              <w:jc w:val="right"/>
              <w:rPr>
                <w:rFonts w:cs="Calibri"/>
                <w:b/>
                <w:bCs/>
              </w:rPr>
            </w:pPr>
            <w:r w:rsidRPr="00B469C1">
              <w:rPr>
                <w:rFonts w:cs="Calibri"/>
                <w:b/>
                <w:bCs/>
              </w:rPr>
              <w:t>147,5</w:t>
            </w:r>
          </w:p>
        </w:tc>
        <w:tc>
          <w:tcPr>
            <w:tcW w:w="851" w:type="dxa"/>
            <w:tcBorders>
              <w:top w:val="single" w:sz="4" w:space="0" w:color="000000"/>
              <w:left w:val="dotted" w:sz="4" w:space="0" w:color="000000"/>
              <w:bottom w:val="dotted" w:sz="4" w:space="0" w:color="000000"/>
              <w:right w:val="dotted" w:sz="4" w:space="0" w:color="000000"/>
            </w:tcBorders>
            <w:vAlign w:val="bottom"/>
          </w:tcPr>
          <w:p w:rsidR="00B469C1" w:rsidRPr="00B469C1" w:rsidRDefault="00B469C1" w:rsidP="00B469C1">
            <w:pPr>
              <w:spacing w:after="0" w:line="240" w:lineRule="exact"/>
              <w:jc w:val="right"/>
              <w:rPr>
                <w:rFonts w:cs="Calibri"/>
                <w:b/>
                <w:bCs/>
              </w:rPr>
            </w:pPr>
            <w:r w:rsidRPr="00B469C1">
              <w:rPr>
                <w:rFonts w:cs="Calibri"/>
                <w:b/>
                <w:bCs/>
              </w:rPr>
              <w:t>100,0</w:t>
            </w:r>
          </w:p>
        </w:tc>
        <w:tc>
          <w:tcPr>
            <w:tcW w:w="1275" w:type="dxa"/>
            <w:tcBorders>
              <w:top w:val="single" w:sz="4" w:space="0" w:color="000000"/>
              <w:left w:val="dotted" w:sz="4" w:space="0" w:color="000000"/>
              <w:bottom w:val="dotted" w:sz="4" w:space="0" w:color="000000"/>
              <w:right w:val="dotted" w:sz="4" w:space="0" w:color="000000"/>
            </w:tcBorders>
            <w:shd w:val="clear" w:color="auto" w:fill="auto"/>
            <w:vAlign w:val="bottom"/>
          </w:tcPr>
          <w:p w:rsidR="00B469C1" w:rsidRPr="00B469C1" w:rsidRDefault="00B469C1" w:rsidP="00DA6619">
            <w:pPr>
              <w:spacing w:after="0" w:line="240" w:lineRule="exact"/>
              <w:jc w:val="right"/>
              <w:rPr>
                <w:rFonts w:cs="Calibri"/>
                <w:b/>
                <w:bCs/>
              </w:rPr>
            </w:pPr>
            <w:r w:rsidRPr="00B469C1">
              <w:rPr>
                <w:rFonts w:cs="Calibri"/>
                <w:b/>
                <w:bCs/>
              </w:rPr>
              <w:t>1256381,</w:t>
            </w:r>
            <w:r w:rsidR="00DA6619">
              <w:rPr>
                <w:rFonts w:cs="Calibri"/>
                <w:b/>
                <w:bCs/>
              </w:rPr>
              <w:t>1</w:t>
            </w:r>
          </w:p>
        </w:tc>
        <w:tc>
          <w:tcPr>
            <w:tcW w:w="1134" w:type="dxa"/>
            <w:tcBorders>
              <w:top w:val="single" w:sz="4" w:space="0" w:color="000000"/>
              <w:left w:val="dotted" w:sz="4" w:space="0" w:color="000000"/>
              <w:bottom w:val="dotted" w:sz="4" w:space="0" w:color="000000"/>
              <w:right w:val="dotted" w:sz="4" w:space="0" w:color="000000"/>
            </w:tcBorders>
            <w:shd w:val="clear" w:color="auto" w:fill="auto"/>
            <w:vAlign w:val="bottom"/>
          </w:tcPr>
          <w:p w:rsidR="00B469C1" w:rsidRPr="00B469C1" w:rsidRDefault="00B469C1" w:rsidP="00B469C1">
            <w:pPr>
              <w:spacing w:after="0" w:line="240" w:lineRule="exact"/>
              <w:jc w:val="right"/>
              <w:rPr>
                <w:rFonts w:cs="Calibri"/>
                <w:b/>
                <w:bCs/>
              </w:rPr>
            </w:pPr>
            <w:r w:rsidRPr="00B469C1">
              <w:rPr>
                <w:rFonts w:cs="Calibri"/>
                <w:b/>
                <w:bCs/>
              </w:rPr>
              <w:t>89,6</w:t>
            </w:r>
          </w:p>
        </w:tc>
        <w:tc>
          <w:tcPr>
            <w:tcW w:w="850" w:type="dxa"/>
            <w:tcBorders>
              <w:top w:val="single" w:sz="4" w:space="0" w:color="000000"/>
              <w:left w:val="dotted" w:sz="4" w:space="0" w:color="000000"/>
              <w:bottom w:val="dotted" w:sz="4" w:space="0" w:color="000000"/>
              <w:right w:val="dotted" w:sz="4" w:space="0" w:color="000000"/>
            </w:tcBorders>
            <w:vAlign w:val="bottom"/>
          </w:tcPr>
          <w:p w:rsidR="00B469C1" w:rsidRPr="00B469C1" w:rsidRDefault="00B469C1" w:rsidP="00B469C1">
            <w:pPr>
              <w:spacing w:after="0" w:line="240" w:lineRule="exact"/>
              <w:jc w:val="right"/>
              <w:rPr>
                <w:rFonts w:cs="Calibri"/>
                <w:b/>
                <w:bCs/>
              </w:rPr>
            </w:pPr>
            <w:r w:rsidRPr="00B469C1">
              <w:rPr>
                <w:rFonts w:cs="Calibri"/>
                <w:b/>
                <w:bCs/>
              </w:rPr>
              <w:t>100,0</w:t>
            </w:r>
          </w:p>
        </w:tc>
      </w:tr>
      <w:tr w:rsidR="00A3264D" w:rsidRPr="00984214" w:rsidTr="00B3039B">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69C1" w:rsidRDefault="00A3264D" w:rsidP="00B3039B">
            <w:pPr>
              <w:tabs>
                <w:tab w:val="left" w:pos="1276"/>
                <w:tab w:val="left" w:pos="1418"/>
                <w:tab w:val="left" w:pos="7938"/>
              </w:tabs>
              <w:spacing w:after="0" w:line="240" w:lineRule="exact"/>
              <w:jc w:val="right"/>
              <w:rPr>
                <w:rFonts w:eastAsia="Times New Roman" w:cs="Calibri"/>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69C1" w:rsidRDefault="00A3264D" w:rsidP="00B3039B">
            <w:pPr>
              <w:tabs>
                <w:tab w:val="left" w:pos="1276"/>
                <w:tab w:val="left" w:pos="1418"/>
                <w:tab w:val="left" w:pos="7938"/>
              </w:tabs>
              <w:spacing w:after="0" w:line="240" w:lineRule="exact"/>
              <w:jc w:val="right"/>
              <w:rPr>
                <w:rFonts w:eastAsia="Times New Roman" w:cs="Calibri"/>
                <w:b/>
                <w:bCs/>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69C1" w:rsidRDefault="00A3264D" w:rsidP="00B3039B">
            <w:pPr>
              <w:tabs>
                <w:tab w:val="left" w:pos="1276"/>
                <w:tab w:val="left" w:pos="1418"/>
                <w:tab w:val="left" w:pos="7938"/>
              </w:tabs>
              <w:spacing w:after="0" w:line="240" w:lineRule="exact"/>
              <w:jc w:val="right"/>
              <w:rPr>
                <w:rFonts w:eastAsia="Times New Roman" w:cs="Calibri"/>
                <w:b/>
                <w:bCs/>
                <w:lang w:val="uk-UA" w:eastAsia="ru-RU"/>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69C1" w:rsidRDefault="00A3264D" w:rsidP="00B3039B">
            <w:pPr>
              <w:tabs>
                <w:tab w:val="left" w:pos="1276"/>
                <w:tab w:val="left" w:pos="1418"/>
                <w:tab w:val="left" w:pos="7938"/>
              </w:tabs>
              <w:spacing w:after="0" w:line="240" w:lineRule="exact"/>
              <w:jc w:val="right"/>
              <w:rPr>
                <w:rFonts w:eastAsia="Times New Roman" w:cs="Calibri"/>
                <w:b/>
                <w:bCs/>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69C1" w:rsidRDefault="00A3264D" w:rsidP="00B3039B">
            <w:pPr>
              <w:tabs>
                <w:tab w:val="left" w:pos="1276"/>
                <w:tab w:val="left" w:pos="1418"/>
                <w:tab w:val="left" w:pos="7938"/>
              </w:tabs>
              <w:spacing w:after="0" w:line="240" w:lineRule="exact"/>
              <w:jc w:val="right"/>
              <w:rPr>
                <w:rFonts w:eastAsia="Times New Roman" w:cs="Calibri"/>
                <w:b/>
                <w:bCs/>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B469C1" w:rsidRDefault="00A3264D" w:rsidP="00B3039B">
            <w:pPr>
              <w:tabs>
                <w:tab w:val="left" w:pos="1276"/>
                <w:tab w:val="left" w:pos="1418"/>
                <w:tab w:val="left" w:pos="7938"/>
              </w:tabs>
              <w:spacing w:after="0" w:line="240" w:lineRule="exact"/>
              <w:jc w:val="right"/>
              <w:rPr>
                <w:rFonts w:eastAsia="Times New Roman" w:cs="Calibri"/>
                <w:b/>
                <w:bCs/>
                <w:lang w:val="uk-UA" w:eastAsia="ru-RU"/>
              </w:rPr>
            </w:pPr>
          </w:p>
        </w:tc>
      </w:tr>
      <w:tr w:rsidR="00D2404D"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D2404D" w:rsidRPr="00984214" w:rsidRDefault="00D2404D"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Живі тварини; продукти тваринного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D2404D" w:rsidRPr="00984214" w:rsidRDefault="00D2404D" w:rsidP="00604C04">
            <w:pPr>
              <w:spacing w:after="0" w:line="240" w:lineRule="auto"/>
              <w:jc w:val="center"/>
              <w:rPr>
                <w:rFonts w:eastAsia="Times New Roman"/>
                <w:bCs/>
                <w:lang w:val="uk-UA" w:eastAsia="ru-RU"/>
              </w:rPr>
            </w:pPr>
            <w:r w:rsidRPr="00984214">
              <w:rPr>
                <w:lang w:val="uk-UA"/>
              </w:rPr>
              <w:t>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404D" w:rsidRPr="00DD6170" w:rsidRDefault="00D2404D" w:rsidP="00DD6170">
            <w:pPr>
              <w:spacing w:after="0" w:line="240" w:lineRule="exact"/>
              <w:jc w:val="right"/>
              <w:rPr>
                <w:rFonts w:cs="Calibri"/>
                <w:bCs/>
              </w:rPr>
            </w:pPr>
            <w:r w:rsidRPr="00DD6170">
              <w:rPr>
                <w:rFonts w:cs="Calibri"/>
                <w:bCs/>
              </w:rPr>
              <w:t>13081,3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404D" w:rsidRPr="00DD6170" w:rsidRDefault="00D2404D" w:rsidP="00DD6170">
            <w:pPr>
              <w:spacing w:after="0" w:line="240" w:lineRule="exact"/>
              <w:jc w:val="right"/>
              <w:rPr>
                <w:rFonts w:cs="Calibri"/>
                <w:bCs/>
              </w:rPr>
            </w:pPr>
            <w:r w:rsidRPr="00DD6170">
              <w:rPr>
                <w:rFonts w:cs="Calibri"/>
                <w:bCs/>
              </w:rPr>
              <w:t>143,0</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404D" w:rsidRPr="00DD6170" w:rsidRDefault="00D2404D" w:rsidP="00DD6170">
            <w:pPr>
              <w:spacing w:after="0" w:line="240" w:lineRule="exact"/>
              <w:jc w:val="right"/>
              <w:rPr>
                <w:rFonts w:cs="Calibri"/>
                <w:bCs/>
              </w:rPr>
            </w:pPr>
            <w:r w:rsidRPr="00DD6170">
              <w:rPr>
                <w:rFonts w:cs="Calibri"/>
                <w:bCs/>
              </w:rPr>
              <w:t>1,0</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404D" w:rsidRPr="00DD6170" w:rsidRDefault="00D2404D" w:rsidP="00DD6170">
            <w:pPr>
              <w:spacing w:after="0" w:line="240" w:lineRule="exact"/>
              <w:jc w:val="right"/>
              <w:rPr>
                <w:rFonts w:cs="Calibri"/>
                <w:bCs/>
              </w:rPr>
            </w:pPr>
            <w:r w:rsidRPr="00DD6170">
              <w:rPr>
                <w:rFonts w:cs="Calibri"/>
                <w:bCs/>
              </w:rPr>
              <w:t>16011,6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404D" w:rsidRPr="00DD6170" w:rsidRDefault="00D2404D" w:rsidP="00DD6170">
            <w:pPr>
              <w:spacing w:after="0" w:line="240" w:lineRule="exact"/>
              <w:jc w:val="right"/>
              <w:rPr>
                <w:rFonts w:cs="Calibri"/>
                <w:bCs/>
              </w:rPr>
            </w:pPr>
            <w:r w:rsidRPr="00DD6170">
              <w:rPr>
                <w:rFonts w:cs="Calibri"/>
                <w:bCs/>
              </w:rPr>
              <w:t>56,5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2404D" w:rsidRPr="00DD6170" w:rsidRDefault="00D2404D" w:rsidP="00DD6170">
            <w:pPr>
              <w:spacing w:after="0" w:line="240" w:lineRule="exact"/>
              <w:jc w:val="right"/>
              <w:rPr>
                <w:rFonts w:cs="Calibri"/>
                <w:bCs/>
              </w:rPr>
            </w:pPr>
            <w:r w:rsidRPr="00DD6170">
              <w:rPr>
                <w:rFonts w:cs="Calibri"/>
                <w:bCs/>
              </w:rPr>
              <w:t>1,3</w:t>
            </w:r>
          </w:p>
        </w:tc>
      </w:tr>
      <w:tr w:rsidR="00ED708C" w:rsidRPr="00984214" w:rsidTr="00DD6170">
        <w:trPr>
          <w:trHeight w:val="46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Продукти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ІІ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738470,8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225,7</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56,8</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135667,4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110,4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10,8</w:t>
            </w:r>
          </w:p>
        </w:tc>
      </w:tr>
      <w:tr w:rsidR="00A3264D"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зернові культури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10</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377691,8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156,5</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29,0</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16681,4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179,0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1,3</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Жири та олії тваринного або рослинного походження</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ІІІ.15</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253209,7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112,6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19,5</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66559,3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57,7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5,3</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Готові харчові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IV</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71259,0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98,6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5,5</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62169,3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75,5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4,9</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Мінеральні продукти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V</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18678,8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736,4</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1,4</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454088,1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181,5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36,1</w:t>
            </w:r>
          </w:p>
        </w:tc>
      </w:tr>
      <w:tr w:rsidR="00A3264D"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 xml:space="preserve"> 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spacing w:after="0" w:line="240" w:lineRule="exact"/>
              <w:jc w:val="right"/>
              <w:rPr>
                <w:rFonts w:cs="Calibri"/>
                <w:highlight w:val="yellow"/>
                <w:lang w:val="uk-UA"/>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spacing w:after="0" w:line="240" w:lineRule="exact"/>
              <w:jc w:val="right"/>
              <w:rPr>
                <w:rFonts w:cs="Calibri"/>
                <w:highlight w:val="yellow"/>
                <w:lang w:val="uk-UA"/>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spacing w:after="0" w:line="240" w:lineRule="exact"/>
              <w:jc w:val="right"/>
              <w:rPr>
                <w:rFonts w:cs="Calibri"/>
                <w:highlight w:val="yellow"/>
                <w:lang w:val="uk-UA"/>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spacing w:after="0" w:line="240" w:lineRule="exact"/>
              <w:jc w:val="right"/>
              <w:rPr>
                <w:rFonts w:cs="Calibri"/>
                <w:highlight w:val="yellow"/>
                <w:lang w:val="uk-UA"/>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spacing w:after="0" w:line="240" w:lineRule="exact"/>
              <w:jc w:val="right"/>
              <w:rPr>
                <w:rFonts w:cs="Calibri"/>
                <w:highlight w:val="yellow"/>
                <w:lang w:val="uk-UA"/>
              </w:rPr>
            </w:pP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палива мінеральні, нафта і продукти її перегонки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27</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15244,7</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771,3</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1,2</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441682,4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198,3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35,2</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Продукція хімічної та пов’язаних з нею галузей промисловості</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VI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21934,1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100,4</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1,7</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86777,0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81,8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6,9</w:t>
            </w:r>
          </w:p>
        </w:tc>
      </w:tr>
      <w:tr w:rsidR="00A3264D"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A3264D" w:rsidRPr="00984214" w:rsidRDefault="00A3264D" w:rsidP="00A3264D">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 xml:space="preserve"> у тому числі</w:t>
            </w:r>
          </w:p>
        </w:tc>
        <w:tc>
          <w:tcPr>
            <w:tcW w:w="992" w:type="dxa"/>
            <w:tcBorders>
              <w:top w:val="dotted" w:sz="4" w:space="0" w:color="000000"/>
              <w:left w:val="dotted" w:sz="4" w:space="0" w:color="000000"/>
              <w:bottom w:val="dotted" w:sz="4" w:space="0" w:color="000000"/>
              <w:right w:val="dotted" w:sz="4" w:space="0" w:color="000000"/>
            </w:tcBorders>
            <w:vAlign w:val="bottom"/>
          </w:tcPr>
          <w:p w:rsidR="00A3264D" w:rsidRPr="00984214" w:rsidRDefault="00A3264D" w:rsidP="00A3264D">
            <w:pPr>
              <w:spacing w:after="0" w:line="240" w:lineRule="auto"/>
              <w:jc w:val="center"/>
              <w:rPr>
                <w:rFonts w:eastAsia="Times New Roman"/>
                <w:bCs/>
                <w:lang w:val="uk-UA" w:eastAsia="ru-RU"/>
              </w:rPr>
            </w:pP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A3264D" w:rsidRPr="00DD6170" w:rsidRDefault="00A3264D"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продукти неорганічної хімії</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28</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15986,6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213,2</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1,2</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22226,6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116,4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1,8</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Полімерні матеріали, пластмаси та вироби з них</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VII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9438,2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82,6</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0,7</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43077,3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53,0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3,4</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Шкури необроблені, шкіра вичищена</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VIII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336,6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167,4</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0,0</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3666,8</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159,0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0,3</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Деревина і вироби з деревини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IX</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10060,2</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97,4</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0,8</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5660,5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46,7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0,5</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604C04">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Маса з деревини або інших волокнистих целюлозних матеріалів</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604C04">
            <w:pPr>
              <w:spacing w:after="0" w:line="240" w:lineRule="auto"/>
              <w:jc w:val="center"/>
              <w:rPr>
                <w:rFonts w:eastAsia="Times New Roman"/>
                <w:bCs/>
                <w:lang w:val="uk-UA" w:eastAsia="ru-RU"/>
              </w:rPr>
            </w:pPr>
            <w:r w:rsidRPr="00984214">
              <w:rPr>
                <w:lang w:val="uk-UA"/>
              </w:rPr>
              <w:t>Х</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1959,0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91,8</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0,2</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11937,4</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107,3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1,0</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Текстильні матеріали та текстильні вироби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3E758E">
            <w:pPr>
              <w:spacing w:after="0" w:line="240" w:lineRule="auto"/>
              <w:jc w:val="center"/>
              <w:rPr>
                <w:rFonts w:eastAsia="Times New Roman"/>
                <w:bCs/>
                <w:lang w:val="uk-UA" w:eastAsia="ru-RU"/>
              </w:rPr>
            </w:pPr>
            <w:r w:rsidRPr="00984214">
              <w:rPr>
                <w:lang w:val="uk-UA"/>
              </w:rPr>
              <w:t>ХІ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7226,0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125,3</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0,6</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35841,5</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92,3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2,9</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Взуття, головні убори, парасольки</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3E758E">
            <w:pPr>
              <w:spacing w:after="0" w:line="240" w:lineRule="auto"/>
              <w:jc w:val="center"/>
              <w:rPr>
                <w:rFonts w:eastAsia="Times New Roman"/>
                <w:bCs/>
                <w:lang w:val="uk-UA" w:eastAsia="ru-RU"/>
              </w:rPr>
            </w:pPr>
            <w:r w:rsidRPr="00984214">
              <w:rPr>
                <w:lang w:val="uk-UA"/>
              </w:rPr>
              <w:t>ХІІ</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3992,6</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97,9</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0,3</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15889,1</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97,9</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1,3</w:t>
            </w:r>
          </w:p>
        </w:tc>
      </w:tr>
      <w:tr w:rsidR="00ED708C" w:rsidRPr="00984214" w:rsidTr="00DD6170">
        <w:trPr>
          <w:trHeight w:val="255"/>
        </w:trPr>
        <w:tc>
          <w:tcPr>
            <w:tcW w:w="2410"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Вироби з каменю, гіпсу, цементу</w:t>
            </w:r>
          </w:p>
        </w:tc>
        <w:tc>
          <w:tcPr>
            <w:tcW w:w="992"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3E758E">
            <w:pPr>
              <w:spacing w:after="0" w:line="240" w:lineRule="auto"/>
              <w:jc w:val="center"/>
              <w:rPr>
                <w:rFonts w:eastAsia="Times New Roman"/>
                <w:bCs/>
                <w:lang w:val="uk-UA" w:eastAsia="ru-RU"/>
              </w:rPr>
            </w:pPr>
            <w:r w:rsidRPr="00984214">
              <w:rPr>
                <w:lang w:val="uk-UA"/>
              </w:rPr>
              <w:t>XIII</w:t>
            </w:r>
          </w:p>
        </w:tc>
        <w:tc>
          <w:tcPr>
            <w:tcW w:w="1276"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2062,3</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86,9</w:t>
            </w:r>
          </w:p>
        </w:tc>
        <w:tc>
          <w:tcPr>
            <w:tcW w:w="8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0,2</w:t>
            </w:r>
          </w:p>
        </w:tc>
        <w:tc>
          <w:tcPr>
            <w:tcW w:w="1275"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16369,0</w:t>
            </w:r>
          </w:p>
        </w:tc>
        <w:tc>
          <w:tcPr>
            <w:tcW w:w="1134"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39,8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1,3</w:t>
            </w:r>
          </w:p>
        </w:tc>
      </w:tr>
    </w:tbl>
    <w:p w:rsidR="0051698A" w:rsidRPr="00984214" w:rsidRDefault="0051698A" w:rsidP="0051698A">
      <w:pPr>
        <w:spacing w:after="0" w:line="240" w:lineRule="auto"/>
        <w:rPr>
          <w:lang w:val="uk-UA"/>
        </w:rPr>
      </w:pPr>
    </w:p>
    <w:p w:rsidR="0051698A" w:rsidRPr="00984214" w:rsidRDefault="008E7E29" w:rsidP="00702E16">
      <w:pPr>
        <w:spacing w:after="0" w:line="240" w:lineRule="auto"/>
        <w:jc w:val="right"/>
        <w:rPr>
          <w:lang w:val="uk-UA"/>
        </w:rPr>
      </w:pPr>
      <w:r>
        <w:rPr>
          <w:lang w:val="uk-UA"/>
        </w:rPr>
        <w:br w:type="page"/>
      </w:r>
      <w:r w:rsidR="0051698A" w:rsidRPr="00984214">
        <w:rPr>
          <w:rFonts w:cs="Times New Roman CYR"/>
          <w:lang w:val="uk-UA"/>
        </w:rPr>
        <w:t>Продовження</w:t>
      </w:r>
    </w:p>
    <w:tbl>
      <w:tblPr>
        <w:tblW w:w="9639" w:type="dxa"/>
        <w:tblInd w:w="108" w:type="dxa"/>
        <w:tblLayout w:type="fixed"/>
        <w:tblLook w:val="0000" w:firstRow="0" w:lastRow="0" w:firstColumn="0" w:lastColumn="0" w:noHBand="0" w:noVBand="0"/>
      </w:tblPr>
      <w:tblGrid>
        <w:gridCol w:w="2268"/>
        <w:gridCol w:w="993"/>
        <w:gridCol w:w="1059"/>
        <w:gridCol w:w="1209"/>
        <w:gridCol w:w="951"/>
        <w:gridCol w:w="1080"/>
        <w:gridCol w:w="1229"/>
        <w:gridCol w:w="850"/>
      </w:tblGrid>
      <w:tr w:rsidR="0051698A" w:rsidRPr="00984214" w:rsidTr="00AC7F47">
        <w:trPr>
          <w:trHeight w:val="255"/>
        </w:trPr>
        <w:tc>
          <w:tcPr>
            <w:tcW w:w="2268" w:type="dxa"/>
            <w:vMerge w:val="restart"/>
            <w:tcBorders>
              <w:top w:val="single" w:sz="4" w:space="0" w:color="auto"/>
              <w:left w:val="single" w:sz="4" w:space="0" w:color="000000"/>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Назва</w:t>
            </w:r>
          </w:p>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товарів</w:t>
            </w:r>
          </w:p>
        </w:tc>
        <w:tc>
          <w:tcPr>
            <w:tcW w:w="993" w:type="dxa"/>
            <w:vMerge w:val="restart"/>
            <w:tcBorders>
              <w:top w:val="single" w:sz="4" w:space="0" w:color="auto"/>
              <w:left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Розділ та код УКТ</w:t>
            </w:r>
            <w:r w:rsidR="00A406BE">
              <w:rPr>
                <w:rFonts w:eastAsia="Times New Roman"/>
                <w:bCs/>
                <w:lang w:val="uk-UA" w:eastAsia="ru-RU"/>
              </w:rPr>
              <w:t xml:space="preserve"> </w:t>
            </w:r>
            <w:bookmarkStart w:id="1" w:name="_GoBack"/>
            <w:bookmarkEnd w:id="1"/>
            <w:r w:rsidRPr="00984214">
              <w:rPr>
                <w:rFonts w:eastAsia="Times New Roman"/>
                <w:bCs/>
                <w:lang w:val="uk-UA" w:eastAsia="ru-RU"/>
              </w:rPr>
              <w:t>ЗЕД</w:t>
            </w:r>
          </w:p>
        </w:tc>
        <w:tc>
          <w:tcPr>
            <w:tcW w:w="321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Експорт</w:t>
            </w:r>
          </w:p>
        </w:tc>
        <w:tc>
          <w:tcPr>
            <w:tcW w:w="3159"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rFonts w:eastAsia="Times New Roman"/>
                <w:bCs/>
                <w:lang w:val="uk-UA" w:eastAsia="ru-RU"/>
              </w:rPr>
              <w:t>Імпорт</w:t>
            </w:r>
          </w:p>
        </w:tc>
      </w:tr>
      <w:tr w:rsidR="0051698A" w:rsidRPr="00984214" w:rsidTr="0064796F">
        <w:trPr>
          <w:trHeight w:val="959"/>
        </w:trPr>
        <w:tc>
          <w:tcPr>
            <w:tcW w:w="2268" w:type="dxa"/>
            <w:vMerge/>
            <w:tcBorders>
              <w:left w:val="single" w:sz="4" w:space="0" w:color="000000"/>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p>
        </w:tc>
        <w:tc>
          <w:tcPr>
            <w:tcW w:w="993" w:type="dxa"/>
            <w:vMerge/>
            <w:tcBorders>
              <w:left w:val="single" w:sz="4" w:space="0" w:color="auto"/>
              <w:bottom w:val="single" w:sz="4" w:space="0" w:color="auto"/>
              <w:right w:val="single" w:sz="4" w:space="0" w:color="auto"/>
            </w:tcBorders>
            <w:vAlign w:val="center"/>
          </w:tcPr>
          <w:p w:rsidR="0051698A" w:rsidRPr="00984214" w:rsidRDefault="0051698A" w:rsidP="0051698A">
            <w:pPr>
              <w:spacing w:after="0" w:line="240" w:lineRule="auto"/>
              <w:jc w:val="center"/>
              <w:rPr>
                <w:rFonts w:eastAsia="Times New Roman"/>
                <w:bCs/>
                <w:lang w:val="uk-UA" w:eastAsia="ru-RU"/>
              </w:rPr>
            </w:pP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bCs/>
                <w:lang w:val="uk-UA" w:eastAsia="ru-RU"/>
              </w:rPr>
            </w:pPr>
            <w:r w:rsidRPr="00984214">
              <w:rPr>
                <w:lang w:val="uk-UA" w:eastAsia="ru-RU"/>
              </w:rPr>
              <w:t>тис.дол. США</w:t>
            </w:r>
          </w:p>
        </w:tc>
        <w:tc>
          <w:tcPr>
            <w:tcW w:w="1209" w:type="dxa"/>
            <w:tcBorders>
              <w:top w:val="single" w:sz="4" w:space="0" w:color="auto"/>
              <w:left w:val="single" w:sz="4" w:space="0" w:color="auto"/>
              <w:bottom w:val="single" w:sz="4" w:space="0" w:color="auto"/>
              <w:right w:val="single" w:sz="4" w:space="0" w:color="auto"/>
            </w:tcBorders>
            <w:shd w:val="clear" w:color="auto" w:fill="auto"/>
            <w:vAlign w:val="center"/>
          </w:tcPr>
          <w:p w:rsidR="0064796F" w:rsidRPr="0079600B" w:rsidRDefault="0064796F" w:rsidP="0064796F">
            <w:pPr>
              <w:spacing w:after="0" w:line="240" w:lineRule="exact"/>
              <w:ind w:left="-108" w:right="-108" w:firstLine="108"/>
              <w:jc w:val="center"/>
              <w:rPr>
                <w:lang w:val="uk-UA" w:eastAsia="ru-RU"/>
              </w:rPr>
            </w:pPr>
            <w:r w:rsidRPr="0079600B">
              <w:rPr>
                <w:lang w:val="uk-UA" w:eastAsia="ru-RU"/>
              </w:rPr>
              <w:t>у % до</w:t>
            </w:r>
          </w:p>
          <w:p w:rsidR="0064796F" w:rsidRDefault="0064796F" w:rsidP="0064796F">
            <w:pPr>
              <w:spacing w:after="0" w:line="240" w:lineRule="exact"/>
              <w:ind w:left="-108" w:right="-108" w:firstLine="108"/>
              <w:jc w:val="center"/>
              <w:rPr>
                <w:lang w:val="uk-UA" w:eastAsia="ru-RU"/>
              </w:rPr>
            </w:pPr>
            <w:r w:rsidRPr="0079600B">
              <w:rPr>
                <w:lang w:val="uk-UA" w:eastAsia="ru-RU"/>
              </w:rPr>
              <w:t>січня–</w:t>
            </w:r>
          </w:p>
          <w:p w:rsidR="0064796F" w:rsidRPr="0079600B" w:rsidRDefault="00611E04" w:rsidP="0064796F">
            <w:pPr>
              <w:spacing w:after="0" w:line="240" w:lineRule="exact"/>
              <w:ind w:left="-108" w:right="-108" w:firstLine="108"/>
              <w:jc w:val="center"/>
              <w:rPr>
                <w:lang w:val="uk-UA" w:eastAsia="ru-RU"/>
              </w:rPr>
            </w:pPr>
            <w:r>
              <w:rPr>
                <w:lang w:val="uk-UA" w:eastAsia="ru-RU"/>
              </w:rPr>
              <w:t>серпня</w:t>
            </w:r>
          </w:p>
          <w:p w:rsidR="0051698A" w:rsidRPr="00984214" w:rsidRDefault="0064796F" w:rsidP="0064796F">
            <w:pPr>
              <w:spacing w:after="0" w:line="240" w:lineRule="auto"/>
              <w:jc w:val="center"/>
              <w:rPr>
                <w:rFonts w:eastAsia="Times New Roman" w:cs="Calibri"/>
                <w:bCs/>
                <w:lang w:val="uk-UA" w:eastAsia="ru-RU"/>
              </w:rPr>
            </w:pPr>
            <w:r w:rsidRPr="0079600B">
              <w:rPr>
                <w:lang w:val="uk-UA" w:eastAsia="ru-RU"/>
              </w:rPr>
              <w:t>2021</w:t>
            </w:r>
          </w:p>
        </w:tc>
        <w:tc>
          <w:tcPr>
            <w:tcW w:w="951"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у % до</w:t>
            </w:r>
          </w:p>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загаль-</w:t>
            </w:r>
          </w:p>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ного</w:t>
            </w:r>
          </w:p>
          <w:p w:rsidR="0051698A" w:rsidRPr="00984214" w:rsidRDefault="0051698A" w:rsidP="0051698A">
            <w:pPr>
              <w:spacing w:after="0" w:line="240" w:lineRule="auto"/>
              <w:ind w:left="-108" w:right="-142"/>
              <w:jc w:val="center"/>
              <w:rPr>
                <w:rFonts w:eastAsia="Times New Roman" w:cs="Calibri"/>
                <w:bCs/>
                <w:lang w:val="uk-UA" w:eastAsia="ru-RU"/>
              </w:rPr>
            </w:pPr>
            <w:r w:rsidRPr="00984214">
              <w:rPr>
                <w:rFonts w:eastAsia="Times New Roman" w:cs="Calibri"/>
                <w:bCs/>
                <w:lang w:val="uk-UA" w:eastAsia="ru-RU"/>
              </w:rPr>
              <w:t>обсягу</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51698A" w:rsidRPr="00984214" w:rsidRDefault="0051698A" w:rsidP="0051698A">
            <w:pPr>
              <w:spacing w:after="0" w:line="240" w:lineRule="auto"/>
              <w:jc w:val="center"/>
              <w:rPr>
                <w:rFonts w:eastAsia="Times New Roman" w:cs="Calibri"/>
                <w:bCs/>
                <w:lang w:val="uk-UA" w:eastAsia="ru-RU"/>
              </w:rPr>
            </w:pPr>
            <w:r w:rsidRPr="00984214">
              <w:rPr>
                <w:rFonts w:cs="Calibri"/>
                <w:lang w:val="uk-UA" w:eastAsia="ru-RU"/>
              </w:rPr>
              <w:t>тис.дол. США</w:t>
            </w:r>
          </w:p>
        </w:tc>
        <w:tc>
          <w:tcPr>
            <w:tcW w:w="1229" w:type="dxa"/>
            <w:tcBorders>
              <w:top w:val="single" w:sz="4" w:space="0" w:color="auto"/>
              <w:left w:val="single" w:sz="4" w:space="0" w:color="auto"/>
              <w:bottom w:val="single" w:sz="4" w:space="0" w:color="auto"/>
              <w:right w:val="single" w:sz="4" w:space="0" w:color="auto"/>
            </w:tcBorders>
            <w:shd w:val="clear" w:color="auto" w:fill="auto"/>
            <w:vAlign w:val="center"/>
          </w:tcPr>
          <w:p w:rsidR="0064796F" w:rsidRPr="0079600B" w:rsidRDefault="0064796F" w:rsidP="0064796F">
            <w:pPr>
              <w:spacing w:after="0" w:line="240" w:lineRule="exact"/>
              <w:ind w:left="-108" w:right="-108" w:firstLine="108"/>
              <w:jc w:val="center"/>
              <w:rPr>
                <w:lang w:val="uk-UA" w:eastAsia="ru-RU"/>
              </w:rPr>
            </w:pPr>
            <w:r w:rsidRPr="0079600B">
              <w:rPr>
                <w:lang w:val="uk-UA" w:eastAsia="ru-RU"/>
              </w:rPr>
              <w:t>у % до</w:t>
            </w:r>
          </w:p>
          <w:p w:rsidR="0064796F" w:rsidRPr="0079600B" w:rsidRDefault="0064796F" w:rsidP="0064796F">
            <w:pPr>
              <w:spacing w:after="0" w:line="240" w:lineRule="exact"/>
              <w:ind w:left="-108" w:right="-108" w:firstLine="108"/>
              <w:jc w:val="center"/>
              <w:rPr>
                <w:lang w:val="uk-UA" w:eastAsia="ru-RU"/>
              </w:rPr>
            </w:pPr>
            <w:r w:rsidRPr="0079600B">
              <w:rPr>
                <w:lang w:val="uk-UA" w:eastAsia="ru-RU"/>
              </w:rPr>
              <w:t>січня–</w:t>
            </w:r>
            <w:r w:rsidR="00611E04">
              <w:rPr>
                <w:lang w:val="uk-UA" w:eastAsia="ru-RU"/>
              </w:rPr>
              <w:t>серпня</w:t>
            </w:r>
          </w:p>
          <w:p w:rsidR="0051698A" w:rsidRPr="00984214" w:rsidRDefault="0064796F" w:rsidP="0064796F">
            <w:pPr>
              <w:spacing w:after="0" w:line="240" w:lineRule="auto"/>
              <w:jc w:val="center"/>
              <w:rPr>
                <w:rFonts w:eastAsia="Times New Roman" w:cs="Calibri"/>
                <w:bCs/>
                <w:lang w:val="uk-UA" w:eastAsia="ru-RU"/>
              </w:rPr>
            </w:pPr>
            <w:r w:rsidRPr="0079600B">
              <w:rPr>
                <w:lang w:val="uk-UA" w:eastAsia="ru-RU"/>
              </w:rPr>
              <w:t>2021</w:t>
            </w:r>
          </w:p>
        </w:tc>
        <w:tc>
          <w:tcPr>
            <w:tcW w:w="850" w:type="dxa"/>
            <w:tcBorders>
              <w:top w:val="single" w:sz="4" w:space="0" w:color="auto"/>
              <w:left w:val="single" w:sz="4" w:space="0" w:color="auto"/>
              <w:bottom w:val="single" w:sz="4" w:space="0" w:color="auto"/>
              <w:right w:val="single" w:sz="4" w:space="0" w:color="000000"/>
            </w:tcBorders>
            <w:shd w:val="clear" w:color="auto" w:fill="auto"/>
            <w:vAlign w:val="center"/>
          </w:tcPr>
          <w:p w:rsidR="0051698A" w:rsidRPr="00984214" w:rsidRDefault="0051698A" w:rsidP="0051698A">
            <w:pPr>
              <w:spacing w:after="0" w:line="240" w:lineRule="auto"/>
              <w:ind w:left="-108" w:right="-142"/>
              <w:jc w:val="center"/>
              <w:rPr>
                <w:rFonts w:eastAsia="Times New Roman"/>
                <w:bCs/>
                <w:lang w:val="uk-UA" w:eastAsia="ru-RU"/>
              </w:rPr>
            </w:pPr>
            <w:r w:rsidRPr="00984214">
              <w:rPr>
                <w:rFonts w:eastAsia="Times New Roman"/>
                <w:bCs/>
                <w:lang w:val="uk-UA" w:eastAsia="ru-RU"/>
              </w:rPr>
              <w:t>у % до</w:t>
            </w:r>
          </w:p>
          <w:p w:rsidR="0051698A" w:rsidRPr="00984214" w:rsidRDefault="0051698A" w:rsidP="0051698A">
            <w:pPr>
              <w:spacing w:after="0" w:line="240" w:lineRule="auto"/>
              <w:ind w:left="-108" w:right="-142"/>
              <w:jc w:val="center"/>
              <w:rPr>
                <w:rFonts w:eastAsia="Times New Roman"/>
                <w:bCs/>
                <w:lang w:val="uk-UA" w:eastAsia="ru-RU"/>
              </w:rPr>
            </w:pPr>
            <w:r w:rsidRPr="00984214">
              <w:rPr>
                <w:rFonts w:eastAsia="Times New Roman"/>
                <w:bCs/>
                <w:lang w:val="uk-UA" w:eastAsia="ru-RU"/>
              </w:rPr>
              <w:t>загаль-ного</w:t>
            </w:r>
          </w:p>
          <w:p w:rsidR="0051698A" w:rsidRPr="00984214" w:rsidRDefault="0051698A" w:rsidP="0051698A">
            <w:pPr>
              <w:spacing w:after="0" w:line="240" w:lineRule="auto"/>
              <w:ind w:left="-108" w:right="-142"/>
              <w:jc w:val="center"/>
              <w:rPr>
                <w:rFonts w:eastAsia="Times New Roman"/>
                <w:bCs/>
                <w:lang w:val="uk-UA" w:eastAsia="ru-RU"/>
              </w:rPr>
            </w:pPr>
            <w:r w:rsidRPr="00984214">
              <w:rPr>
                <w:rFonts w:eastAsia="Times New Roman"/>
                <w:bCs/>
                <w:lang w:val="uk-UA" w:eastAsia="ru-RU"/>
              </w:rPr>
              <w:t>обсягу</w:t>
            </w:r>
          </w:p>
        </w:tc>
      </w:tr>
      <w:tr w:rsidR="00ED708C"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ED708C" w:rsidRPr="00984214" w:rsidRDefault="00ED708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Перли природні або культивовані, дорогоцінне або напівдорогоцінне каміння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ED708C" w:rsidRPr="00984214" w:rsidRDefault="00ED708C" w:rsidP="003E758E">
            <w:pPr>
              <w:spacing w:after="0" w:line="240" w:lineRule="auto"/>
              <w:jc w:val="center"/>
              <w:rPr>
                <w:rFonts w:eastAsia="Times New Roman"/>
                <w:bCs/>
                <w:lang w:val="uk-UA" w:eastAsia="ru-RU"/>
              </w:rPr>
            </w:pPr>
            <w:r w:rsidRPr="00984214">
              <w:rPr>
                <w:lang w:val="uk-UA"/>
              </w:rPr>
              <w:t>XІV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21,9</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71,4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lang w:val="uk-UA"/>
              </w:rPr>
            </w:pPr>
            <w:r w:rsidRPr="00DD6170">
              <w:rPr>
                <w:rFonts w:cs="Calibri"/>
                <w:bCs/>
              </w:rPr>
              <w:t>0,0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2068,8</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63,5</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ED708C" w:rsidRPr="00DD6170" w:rsidRDefault="00ED708C" w:rsidP="00DD6170">
            <w:pPr>
              <w:spacing w:after="0" w:line="240" w:lineRule="exact"/>
              <w:jc w:val="right"/>
              <w:rPr>
                <w:rFonts w:cs="Calibri"/>
                <w:bCs/>
              </w:rPr>
            </w:pPr>
            <w:r w:rsidRPr="00DD6170">
              <w:rPr>
                <w:rFonts w:cs="Calibri"/>
                <w:bCs/>
              </w:rPr>
              <w:t>0,2</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Недорогоцінні метали та вироби з них</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XV</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74186,3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116,1</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5,7</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53433,2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61,2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4,3</w:t>
            </w:r>
          </w:p>
        </w:tc>
      </w:tr>
      <w:tr w:rsidR="0051698A"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98421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98421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чорні метали</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72</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16935,8</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89,7</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1,3</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22423,4</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48,7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1,8</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вироби з чорних металів</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73</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48782,3</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147,2</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3,7</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13717,1</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69,4</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1,1</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Машини, обладнання та механізми; електротехнічне обладнання</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XVI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45706,7</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76,0</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3,5</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111311,2</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53,3</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8,9</w:t>
            </w:r>
          </w:p>
        </w:tc>
      </w:tr>
      <w:tr w:rsidR="0051698A"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51698A" w:rsidRPr="00984214" w:rsidRDefault="0051698A" w:rsidP="0051698A">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 xml:space="preserve"> у тому числі</w:t>
            </w:r>
          </w:p>
        </w:tc>
        <w:tc>
          <w:tcPr>
            <w:tcW w:w="993" w:type="dxa"/>
            <w:tcBorders>
              <w:top w:val="dotted" w:sz="4" w:space="0" w:color="000000"/>
              <w:left w:val="dotted" w:sz="4" w:space="0" w:color="000000"/>
              <w:bottom w:val="dotted" w:sz="4" w:space="0" w:color="000000"/>
              <w:right w:val="dotted" w:sz="4" w:space="0" w:color="000000"/>
            </w:tcBorders>
            <w:vAlign w:val="bottom"/>
          </w:tcPr>
          <w:p w:rsidR="0051698A" w:rsidRPr="00984214" w:rsidRDefault="0051698A" w:rsidP="0051698A">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51698A" w:rsidRPr="00DD6170" w:rsidRDefault="0051698A" w:rsidP="00DD6170">
            <w:pPr>
              <w:tabs>
                <w:tab w:val="left" w:pos="1276"/>
                <w:tab w:val="left" w:pos="1418"/>
                <w:tab w:val="left" w:pos="7938"/>
              </w:tabs>
              <w:spacing w:after="0" w:line="240" w:lineRule="exact"/>
              <w:jc w:val="right"/>
              <w:rPr>
                <w:rFonts w:eastAsia="Times New Roman" w:cs="Calibri"/>
                <w:bCs/>
                <w:highlight w:val="yellow"/>
                <w:lang w:val="uk-UA" w:eastAsia="ru-RU"/>
              </w:rPr>
            </w:pP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реактори ядерні, котли,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84</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12436,5</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79,1</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1,0</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58952,3</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54,8</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4,7</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ind w:left="142"/>
              <w:rPr>
                <w:rFonts w:eastAsia="Times New Roman" w:cs="Calibri"/>
                <w:lang w:val="uk-UA" w:eastAsia="ru-RU"/>
              </w:rPr>
            </w:pPr>
            <w:r w:rsidRPr="00984214">
              <w:rPr>
                <w:rFonts w:eastAsia="Times New Roman" w:cs="Calibri"/>
                <w:lang w:val="uk-UA" w:eastAsia="ru-RU"/>
              </w:rPr>
              <w:t>електричні машини</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85</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33270,2</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74,9</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2,6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52358,8</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51,7</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4,2</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Засоби наземного транспорту, літальні апарати, плавучі засоби</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XVII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21420,4</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40,2</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1,6</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67485,0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54,0</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5,4</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Прилади та апарати оптичні, фотографічні</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XVIII</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4626,7</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67,1</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0,4</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19862,3</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113,6</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1,6</w:t>
            </w:r>
          </w:p>
        </w:tc>
      </w:tr>
      <w:tr w:rsidR="00DD6170"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DD6170" w:rsidRPr="00984214" w:rsidRDefault="00DD6170"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Різні промислові товари</w:t>
            </w:r>
          </w:p>
        </w:tc>
        <w:tc>
          <w:tcPr>
            <w:tcW w:w="993" w:type="dxa"/>
            <w:tcBorders>
              <w:top w:val="dotted" w:sz="4" w:space="0" w:color="000000"/>
              <w:left w:val="dotted" w:sz="4" w:space="0" w:color="000000"/>
              <w:bottom w:val="dotted" w:sz="4" w:space="0" w:color="000000"/>
              <w:right w:val="dotted" w:sz="4" w:space="0" w:color="000000"/>
            </w:tcBorders>
            <w:vAlign w:val="bottom"/>
          </w:tcPr>
          <w:p w:rsidR="00DD6170" w:rsidRPr="00984214" w:rsidRDefault="00DD6170" w:rsidP="003E758E">
            <w:pPr>
              <w:spacing w:after="0" w:line="240" w:lineRule="auto"/>
              <w:jc w:val="center"/>
              <w:rPr>
                <w:rFonts w:eastAsia="Times New Roman"/>
                <w:bCs/>
                <w:lang w:val="uk-UA" w:eastAsia="ru-RU"/>
              </w:rPr>
            </w:pPr>
            <w:r w:rsidRPr="00984214">
              <w:rPr>
                <w:lang w:val="uk-UA"/>
              </w:rPr>
              <w:t>ХХ</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3405,6</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96,4</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0,3</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30770,1</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71,2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DD6170" w:rsidRPr="00DD6170" w:rsidRDefault="00DD6170" w:rsidP="00DD6170">
            <w:pPr>
              <w:spacing w:after="0" w:line="240" w:lineRule="exact"/>
              <w:jc w:val="right"/>
              <w:rPr>
                <w:rFonts w:cs="Calibri"/>
                <w:bCs/>
              </w:rPr>
            </w:pPr>
            <w:r w:rsidRPr="00DD6170">
              <w:rPr>
                <w:rFonts w:cs="Calibri"/>
                <w:bCs/>
              </w:rPr>
              <w:t>2,4</w:t>
            </w:r>
          </w:p>
        </w:tc>
      </w:tr>
      <w:tr w:rsidR="00654FBD"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654FBD" w:rsidRPr="00984214" w:rsidRDefault="00654FBD"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Твори мистецтва</w:t>
            </w:r>
          </w:p>
        </w:tc>
        <w:tc>
          <w:tcPr>
            <w:tcW w:w="993" w:type="dxa"/>
            <w:tcBorders>
              <w:top w:val="dotted" w:sz="4" w:space="0" w:color="000000"/>
              <w:left w:val="dotted" w:sz="4" w:space="0" w:color="000000"/>
              <w:bottom w:val="dotted" w:sz="4" w:space="0" w:color="000000"/>
              <w:right w:val="dotted" w:sz="4" w:space="0" w:color="000000"/>
            </w:tcBorders>
            <w:vAlign w:val="bottom"/>
          </w:tcPr>
          <w:p w:rsidR="00654FBD" w:rsidRPr="00984214" w:rsidRDefault="00654FBD" w:rsidP="003E758E">
            <w:pPr>
              <w:spacing w:after="0" w:line="240" w:lineRule="auto"/>
              <w:jc w:val="center"/>
              <w:rPr>
                <w:rFonts w:eastAsia="Times New Roman"/>
                <w:bCs/>
                <w:lang w:val="uk-UA" w:eastAsia="ru-RU"/>
              </w:rPr>
            </w:pPr>
            <w:r w:rsidRPr="00984214">
              <w:rPr>
                <w:lang w:val="uk-UA"/>
              </w:rPr>
              <w:t>XXI</w:t>
            </w:r>
            <w:r>
              <w:rPr>
                <w:lang w:val="uk-UA"/>
              </w:rPr>
              <w:t>.97</w:t>
            </w: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DD6170" w:rsidRDefault="00654FBD" w:rsidP="00DD6170">
            <w:pPr>
              <w:spacing w:after="0" w:line="240" w:lineRule="exact"/>
              <w:jc w:val="right"/>
              <w:rPr>
                <w:rFonts w:cs="Calibri"/>
                <w:lang w:val="uk-UA" w:eastAsia="uk-UA"/>
              </w:rPr>
            </w:pPr>
            <w:r w:rsidRPr="00DD6170">
              <w:rPr>
                <w:rFonts w:cs="Calibri"/>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DD6170" w:rsidRDefault="00654FBD" w:rsidP="00DD6170">
            <w:pPr>
              <w:spacing w:after="0" w:line="240" w:lineRule="exact"/>
              <w:jc w:val="right"/>
              <w:rPr>
                <w:rFonts w:cs="Calibri"/>
                <w:lang w:val="uk-UA"/>
              </w:rPr>
            </w:pPr>
            <w:r w:rsidRPr="00DD6170">
              <w:rPr>
                <w:rFonts w:cs="Calibri"/>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DD6170" w:rsidRDefault="00654FBD" w:rsidP="00DD6170">
            <w:pPr>
              <w:spacing w:after="0" w:line="240" w:lineRule="exact"/>
              <w:jc w:val="right"/>
              <w:rPr>
                <w:rFonts w:cs="Calibri"/>
                <w:lang w:val="uk-UA"/>
              </w:rPr>
            </w:pPr>
            <w:r w:rsidRPr="00DD6170">
              <w:rPr>
                <w:rFonts w:cs="Calibri"/>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DD6170" w:rsidRDefault="00654FBD" w:rsidP="00DD6170">
            <w:pPr>
              <w:spacing w:after="0" w:line="240" w:lineRule="exact"/>
              <w:jc w:val="right"/>
              <w:rPr>
                <w:rFonts w:cs="Calibri"/>
                <w:lang w:val="uk-UA" w:eastAsia="uk-UA"/>
              </w:rPr>
            </w:pPr>
            <w:r w:rsidRPr="00DD6170">
              <w:rPr>
                <w:rFonts w:cs="Calibri"/>
                <w:lang w:val="uk-UA" w:eastAsia="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DD6170" w:rsidRDefault="00654FBD" w:rsidP="00DD6170">
            <w:pPr>
              <w:spacing w:after="0" w:line="240" w:lineRule="exact"/>
              <w:jc w:val="right"/>
              <w:rPr>
                <w:rFonts w:cs="Calibri"/>
                <w:lang w:val="uk-UA"/>
              </w:rPr>
            </w:pPr>
            <w:r w:rsidRPr="00DD6170">
              <w:rPr>
                <w:rFonts w:cs="Calibri"/>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654FBD" w:rsidRPr="00DD6170" w:rsidRDefault="00654FBD" w:rsidP="00DD6170">
            <w:pPr>
              <w:spacing w:after="0" w:line="240" w:lineRule="exact"/>
              <w:jc w:val="right"/>
              <w:rPr>
                <w:rFonts w:cs="Calibri"/>
                <w:lang w:val="uk-UA"/>
              </w:rPr>
            </w:pPr>
            <w:r w:rsidRPr="00DD6170">
              <w:rPr>
                <w:rFonts w:cs="Calibri"/>
                <w:lang w:val="uk-UA"/>
              </w:rPr>
              <w:t>к</w:t>
            </w:r>
          </w:p>
        </w:tc>
      </w:tr>
      <w:tr w:rsidR="00F231B5" w:rsidRPr="00B223BF" w:rsidTr="00DD6170">
        <w:trPr>
          <w:trHeight w:val="255"/>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F231B5" w:rsidRPr="00984214" w:rsidRDefault="00F231B5"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Товари, придбані в портах</w:t>
            </w:r>
          </w:p>
        </w:tc>
        <w:tc>
          <w:tcPr>
            <w:tcW w:w="993" w:type="dxa"/>
            <w:tcBorders>
              <w:top w:val="dotted" w:sz="4" w:space="0" w:color="000000"/>
              <w:left w:val="dotted" w:sz="4" w:space="0" w:color="000000"/>
              <w:bottom w:val="dotted" w:sz="4" w:space="0" w:color="000000"/>
              <w:right w:val="dotted" w:sz="4" w:space="0" w:color="000000"/>
            </w:tcBorders>
            <w:vAlign w:val="bottom"/>
          </w:tcPr>
          <w:p w:rsidR="00F231B5" w:rsidRPr="00984214" w:rsidRDefault="00F231B5" w:rsidP="003E758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31B5" w:rsidRPr="00DD6170" w:rsidRDefault="00F231B5" w:rsidP="00DD6170">
            <w:pPr>
              <w:spacing w:after="0" w:line="240" w:lineRule="exact"/>
              <w:jc w:val="right"/>
              <w:rPr>
                <w:rFonts w:cs="Calibri"/>
                <w:lang w:val="uk-UA" w:eastAsia="uk-UA"/>
              </w:rPr>
            </w:pPr>
            <w:r w:rsidRPr="00DD6170">
              <w:rPr>
                <w:rFonts w:cs="Calibri"/>
                <w:lang w:val="uk-UA" w:eastAsia="uk-UA"/>
              </w:rPr>
              <w:t>–</w:t>
            </w:r>
          </w:p>
        </w:tc>
        <w:tc>
          <w:tcPr>
            <w:tcW w:w="120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31B5" w:rsidRPr="00DD6170" w:rsidRDefault="00F231B5" w:rsidP="00DD6170">
            <w:pPr>
              <w:spacing w:after="0" w:line="240" w:lineRule="exact"/>
              <w:jc w:val="right"/>
              <w:rPr>
                <w:rFonts w:cs="Calibri"/>
                <w:lang w:val="uk-UA"/>
              </w:rPr>
            </w:pPr>
            <w:r w:rsidRPr="00DD6170">
              <w:rPr>
                <w:rFonts w:cs="Calibri"/>
                <w:lang w:val="uk-UA"/>
              </w:rPr>
              <w:t>–</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31B5" w:rsidRPr="00DD6170" w:rsidRDefault="00F231B5" w:rsidP="00DD6170">
            <w:pPr>
              <w:spacing w:after="0" w:line="240" w:lineRule="exact"/>
              <w:jc w:val="right"/>
              <w:rPr>
                <w:rFonts w:cs="Calibri"/>
                <w:lang w:val="uk-UA"/>
              </w:rPr>
            </w:pPr>
            <w:r w:rsidRPr="00DD6170">
              <w:rPr>
                <w:rFonts w:cs="Calibri"/>
                <w:lang w:val="uk-UA"/>
              </w:rPr>
              <w:t>–</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31B5" w:rsidRPr="00DD6170" w:rsidRDefault="00F231B5" w:rsidP="00DD6170">
            <w:pPr>
              <w:spacing w:after="0" w:line="240" w:lineRule="exact"/>
              <w:jc w:val="right"/>
              <w:rPr>
                <w:rFonts w:cs="Calibri"/>
                <w:bCs/>
              </w:rPr>
            </w:pPr>
            <w:r w:rsidRPr="00DD6170">
              <w:rPr>
                <w:rFonts w:cs="Calibri"/>
                <w:bCs/>
              </w:rPr>
              <w:t>1650,0</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31B5" w:rsidRPr="00DD6170" w:rsidRDefault="00F231B5" w:rsidP="00DD6170">
            <w:pPr>
              <w:spacing w:after="0" w:line="240" w:lineRule="exact"/>
              <w:jc w:val="right"/>
              <w:rPr>
                <w:rFonts w:cs="Calibri"/>
                <w:bCs/>
              </w:rPr>
            </w:pPr>
            <w:r w:rsidRPr="00DD6170">
              <w:rPr>
                <w:rFonts w:cs="Calibri"/>
                <w:bCs/>
              </w:rPr>
              <w:t>558,2</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F231B5" w:rsidRPr="00DD6170" w:rsidRDefault="00F231B5" w:rsidP="00DD6170">
            <w:pPr>
              <w:spacing w:after="0" w:line="240" w:lineRule="exact"/>
              <w:jc w:val="right"/>
              <w:rPr>
                <w:rFonts w:cs="Calibri"/>
                <w:bCs/>
                <w:lang w:val="uk-UA"/>
              </w:rPr>
            </w:pPr>
            <w:r w:rsidRPr="00DD6170">
              <w:rPr>
                <w:rFonts w:cs="Calibri"/>
                <w:bCs/>
              </w:rPr>
              <w:t>0</w:t>
            </w:r>
            <w:r w:rsidR="00DD6170" w:rsidRPr="00DD6170">
              <w:rPr>
                <w:rFonts w:cs="Calibri"/>
                <w:bCs/>
                <w:lang w:val="uk-UA"/>
              </w:rPr>
              <w:t>,1</w:t>
            </w:r>
          </w:p>
        </w:tc>
      </w:tr>
      <w:tr w:rsidR="002401EC" w:rsidRPr="00B223BF" w:rsidTr="00DD6170">
        <w:trPr>
          <w:trHeight w:val="57"/>
        </w:trPr>
        <w:tc>
          <w:tcPr>
            <w:tcW w:w="2268" w:type="dxa"/>
            <w:tcBorders>
              <w:top w:val="dotted" w:sz="4" w:space="0" w:color="000000"/>
              <w:left w:val="dotted" w:sz="4" w:space="0" w:color="000000"/>
              <w:bottom w:val="dotted" w:sz="4" w:space="0" w:color="000000"/>
              <w:right w:val="dotted" w:sz="4" w:space="0" w:color="000000"/>
            </w:tcBorders>
            <w:shd w:val="clear" w:color="auto" w:fill="auto"/>
          </w:tcPr>
          <w:p w:rsidR="002401EC" w:rsidRPr="00984214" w:rsidRDefault="002401EC" w:rsidP="003E758E">
            <w:pPr>
              <w:tabs>
                <w:tab w:val="left" w:pos="1276"/>
                <w:tab w:val="left" w:pos="1418"/>
                <w:tab w:val="left" w:pos="7938"/>
              </w:tabs>
              <w:spacing w:after="0" w:line="240" w:lineRule="auto"/>
              <w:rPr>
                <w:rFonts w:eastAsia="Times New Roman" w:cs="Calibri"/>
                <w:lang w:val="uk-UA" w:eastAsia="ru-RU"/>
              </w:rPr>
            </w:pPr>
            <w:r w:rsidRPr="00984214">
              <w:rPr>
                <w:rFonts w:eastAsia="Times New Roman" w:cs="Calibri"/>
                <w:lang w:val="uk-UA" w:eastAsia="ru-RU"/>
              </w:rPr>
              <w:t>Різне</w:t>
            </w:r>
          </w:p>
        </w:tc>
        <w:tc>
          <w:tcPr>
            <w:tcW w:w="993" w:type="dxa"/>
            <w:tcBorders>
              <w:top w:val="dotted" w:sz="4" w:space="0" w:color="000000"/>
              <w:left w:val="dotted" w:sz="4" w:space="0" w:color="000000"/>
              <w:bottom w:val="dotted" w:sz="4" w:space="0" w:color="000000"/>
              <w:right w:val="dotted" w:sz="4" w:space="0" w:color="000000"/>
            </w:tcBorders>
            <w:vAlign w:val="bottom"/>
          </w:tcPr>
          <w:p w:rsidR="002401EC" w:rsidRPr="00984214" w:rsidRDefault="002401EC" w:rsidP="003E758E">
            <w:pPr>
              <w:spacing w:after="0" w:line="240" w:lineRule="auto"/>
              <w:jc w:val="center"/>
              <w:rPr>
                <w:rFonts w:eastAsia="Times New Roman"/>
                <w:bCs/>
                <w:lang w:val="uk-UA" w:eastAsia="ru-RU"/>
              </w:rPr>
            </w:pPr>
          </w:p>
        </w:tc>
        <w:tc>
          <w:tcPr>
            <w:tcW w:w="1059" w:type="dxa"/>
            <w:tcBorders>
              <w:top w:val="dotted" w:sz="4" w:space="0" w:color="000000"/>
              <w:left w:val="dotted" w:sz="4" w:space="0" w:color="000000"/>
              <w:bottom w:val="dotted" w:sz="4" w:space="0" w:color="000000"/>
              <w:right w:val="dotted" w:sz="4" w:space="0" w:color="000000"/>
            </w:tcBorders>
            <w:vAlign w:val="bottom"/>
          </w:tcPr>
          <w:p w:rsidR="002401EC" w:rsidRPr="00DD6170" w:rsidRDefault="002401EC" w:rsidP="00DD6170">
            <w:pPr>
              <w:spacing w:after="0" w:line="240" w:lineRule="exact"/>
              <w:jc w:val="right"/>
              <w:rPr>
                <w:rFonts w:cs="Calibri"/>
                <w:lang w:val="uk-UA" w:eastAsia="uk-UA"/>
              </w:rPr>
            </w:pPr>
            <w:r w:rsidRPr="00DD6170">
              <w:rPr>
                <w:rFonts w:cs="Calibri"/>
                <w:lang w:val="uk-UA" w:eastAsia="uk-UA"/>
              </w:rPr>
              <w:t>к</w:t>
            </w:r>
          </w:p>
        </w:tc>
        <w:tc>
          <w:tcPr>
            <w:tcW w:w="1209" w:type="dxa"/>
            <w:tcBorders>
              <w:top w:val="dotted" w:sz="4" w:space="0" w:color="000000"/>
              <w:left w:val="dotted" w:sz="4" w:space="0" w:color="000000"/>
              <w:bottom w:val="dotted" w:sz="4" w:space="0" w:color="000000"/>
              <w:right w:val="dotted" w:sz="4" w:space="0" w:color="000000"/>
            </w:tcBorders>
            <w:vAlign w:val="bottom"/>
          </w:tcPr>
          <w:p w:rsidR="002401EC" w:rsidRPr="00DD6170" w:rsidRDefault="002401EC" w:rsidP="00DD6170">
            <w:pPr>
              <w:spacing w:after="0" w:line="240" w:lineRule="exact"/>
              <w:jc w:val="right"/>
              <w:rPr>
                <w:rFonts w:cs="Calibri"/>
                <w:lang w:val="uk-UA"/>
              </w:rPr>
            </w:pPr>
            <w:r w:rsidRPr="00DD6170">
              <w:rPr>
                <w:rFonts w:cs="Calibri"/>
                <w:lang w:val="uk-UA"/>
              </w:rPr>
              <w:t>к</w:t>
            </w:r>
          </w:p>
        </w:tc>
        <w:tc>
          <w:tcPr>
            <w:tcW w:w="951"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DD6170" w:rsidRDefault="002401EC" w:rsidP="00DD6170">
            <w:pPr>
              <w:spacing w:after="0" w:line="240" w:lineRule="exact"/>
              <w:jc w:val="right"/>
              <w:rPr>
                <w:rFonts w:cs="Calibri"/>
                <w:lang w:val="uk-UA"/>
              </w:rPr>
            </w:pPr>
            <w:r w:rsidRPr="00DD6170">
              <w:rPr>
                <w:rFonts w:cs="Calibri"/>
                <w:lang w:val="uk-UA"/>
              </w:rPr>
              <w:t>к</w:t>
            </w:r>
          </w:p>
        </w:tc>
        <w:tc>
          <w:tcPr>
            <w:tcW w:w="108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DD6170" w:rsidRDefault="002401EC" w:rsidP="00DD6170">
            <w:pPr>
              <w:spacing w:after="0" w:line="240" w:lineRule="exact"/>
              <w:jc w:val="right"/>
              <w:rPr>
                <w:rFonts w:cs="Calibri"/>
                <w:lang w:val="uk-UA" w:eastAsia="uk-UA"/>
              </w:rPr>
            </w:pPr>
            <w:r w:rsidRPr="00DD6170">
              <w:rPr>
                <w:rFonts w:cs="Calibri"/>
                <w:lang w:val="uk-UA" w:eastAsia="uk-UA"/>
              </w:rPr>
              <w:t>к</w:t>
            </w:r>
          </w:p>
        </w:tc>
        <w:tc>
          <w:tcPr>
            <w:tcW w:w="1229"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DD6170" w:rsidRDefault="002401EC" w:rsidP="00DD6170">
            <w:pPr>
              <w:spacing w:after="0" w:line="240" w:lineRule="exact"/>
              <w:jc w:val="right"/>
              <w:rPr>
                <w:rFonts w:cs="Calibri"/>
                <w:lang w:val="uk-UA"/>
              </w:rPr>
            </w:pPr>
            <w:r w:rsidRPr="00DD6170">
              <w:rPr>
                <w:rFonts w:cs="Calibri"/>
                <w:lang w:val="uk-UA"/>
              </w:rPr>
              <w:t>к</w:t>
            </w:r>
          </w:p>
        </w:tc>
        <w:tc>
          <w:tcPr>
            <w:tcW w:w="850" w:type="dxa"/>
            <w:tcBorders>
              <w:top w:val="dotted" w:sz="4" w:space="0" w:color="000000"/>
              <w:left w:val="dotted" w:sz="4" w:space="0" w:color="000000"/>
              <w:bottom w:val="dotted" w:sz="4" w:space="0" w:color="000000"/>
              <w:right w:val="dotted" w:sz="4" w:space="0" w:color="000000"/>
            </w:tcBorders>
            <w:shd w:val="clear" w:color="auto" w:fill="auto"/>
            <w:vAlign w:val="bottom"/>
          </w:tcPr>
          <w:p w:rsidR="002401EC" w:rsidRPr="00DD6170" w:rsidRDefault="002401EC" w:rsidP="00DD6170">
            <w:pPr>
              <w:spacing w:after="0" w:line="240" w:lineRule="exact"/>
              <w:jc w:val="right"/>
              <w:rPr>
                <w:rFonts w:cs="Calibri"/>
                <w:lang w:val="uk-UA"/>
              </w:rPr>
            </w:pPr>
            <w:r w:rsidRPr="00DD6170">
              <w:rPr>
                <w:rFonts w:cs="Calibri"/>
                <w:lang w:val="uk-UA"/>
              </w:rPr>
              <w:t>к</w:t>
            </w:r>
          </w:p>
        </w:tc>
      </w:tr>
    </w:tbl>
    <w:p w:rsidR="005A735A" w:rsidRPr="00984214" w:rsidRDefault="005A735A" w:rsidP="00F30105">
      <w:pPr>
        <w:spacing w:after="0" w:line="240" w:lineRule="auto"/>
        <w:rPr>
          <w:rFonts w:ascii="Times New Roman" w:eastAsia="Times New Roman" w:hAnsi="Times New Roman"/>
          <w:sz w:val="16"/>
          <w:szCs w:val="16"/>
          <w:vertAlign w:val="superscript"/>
          <w:lang w:val="uk-UA" w:eastAsia="ru-RU"/>
        </w:rPr>
      </w:pPr>
      <w:r w:rsidRPr="00984214">
        <w:rPr>
          <w:rFonts w:ascii="Times New Roman" w:eastAsia="Times New Roman" w:hAnsi="Times New Roman"/>
          <w:sz w:val="24"/>
          <w:szCs w:val="24"/>
          <w:vertAlign w:val="superscript"/>
          <w:lang w:val="uk-UA" w:eastAsia="ru-RU"/>
        </w:rPr>
        <w:t>______________________</w:t>
      </w:r>
    </w:p>
    <w:p w:rsidR="00136092" w:rsidRPr="00984214" w:rsidRDefault="00136092" w:rsidP="00F30105">
      <w:pPr>
        <w:tabs>
          <w:tab w:val="left" w:pos="1418"/>
          <w:tab w:val="left" w:pos="7938"/>
        </w:tabs>
        <w:spacing w:after="0" w:line="240" w:lineRule="auto"/>
        <w:jc w:val="both"/>
        <w:rPr>
          <w:rFonts w:eastAsia="Times New Roman" w:cs="Calibri"/>
          <w:sz w:val="20"/>
          <w:szCs w:val="20"/>
          <w:lang w:val="uk-UA" w:eastAsia="ru-RU"/>
        </w:rPr>
      </w:pPr>
      <w:r w:rsidRPr="00984214">
        <w:rPr>
          <w:sz w:val="20"/>
          <w:szCs w:val="20"/>
          <w:lang w:val="uk-UA"/>
        </w:rPr>
        <w:t>Символ (к)   – </w:t>
      </w:r>
      <w:r w:rsidRPr="00984214">
        <w:rPr>
          <w:spacing w:val="-4"/>
          <w:sz w:val="20"/>
          <w:szCs w:val="20"/>
          <w:lang w:val="uk-UA"/>
        </w:rPr>
        <w:t>дані не оприлюднюються з метою забезпечення виконання вимог Закону України "Про державну статистику" щодо конфіденційності статистичної інформації</w:t>
      </w:r>
      <w:r w:rsidR="00F30105" w:rsidRPr="00984214">
        <w:rPr>
          <w:sz w:val="20"/>
          <w:szCs w:val="20"/>
          <w:lang w:val="uk-UA"/>
        </w:rPr>
        <w:t>.</w:t>
      </w:r>
      <w:r w:rsidRPr="00984214">
        <w:rPr>
          <w:sz w:val="20"/>
          <w:szCs w:val="20"/>
          <w:lang w:val="uk-UA"/>
        </w:rPr>
        <w:t xml:space="preserve">  </w:t>
      </w:r>
    </w:p>
    <w:p w:rsidR="006205F6" w:rsidRPr="00984214" w:rsidRDefault="006205F6" w:rsidP="00F30105">
      <w:pPr>
        <w:spacing w:after="0" w:line="240" w:lineRule="auto"/>
        <w:rPr>
          <w:rFonts w:eastAsia="Times New Roman"/>
          <w:b/>
          <w:sz w:val="20"/>
          <w:szCs w:val="20"/>
          <w:lang w:val="uk-UA" w:eastAsia="ru-RU"/>
        </w:rPr>
      </w:pPr>
    </w:p>
    <w:p w:rsidR="005A735A" w:rsidRPr="00984214" w:rsidRDefault="005A735A" w:rsidP="00F30105">
      <w:pPr>
        <w:spacing w:after="0" w:line="240" w:lineRule="auto"/>
        <w:rPr>
          <w:rFonts w:eastAsia="Times New Roman"/>
          <w:sz w:val="20"/>
          <w:szCs w:val="20"/>
          <w:lang w:val="uk-UA" w:eastAsia="ru-RU"/>
        </w:rPr>
      </w:pPr>
      <w:r w:rsidRPr="00984214">
        <w:rPr>
          <w:rFonts w:eastAsia="Times New Roman"/>
          <w:b/>
          <w:sz w:val="20"/>
          <w:szCs w:val="20"/>
          <w:lang w:val="uk-UA" w:eastAsia="ru-RU"/>
        </w:rPr>
        <w:t xml:space="preserve">Примітка. </w:t>
      </w:r>
      <w:r w:rsidRPr="00984214">
        <w:rPr>
          <w:rFonts w:eastAsia="Times New Roman"/>
          <w:sz w:val="20"/>
          <w:szCs w:val="20"/>
          <w:lang w:val="uk-UA" w:eastAsia="ru-RU"/>
        </w:rPr>
        <w:t>В окремих випадках сума складових може не дорівнювати підсумку у зв’язку з округленням даних.</w:t>
      </w:r>
    </w:p>
    <w:p w:rsidR="0051698A" w:rsidRPr="00984214" w:rsidRDefault="0051698A" w:rsidP="00FC6B93">
      <w:pPr>
        <w:tabs>
          <w:tab w:val="left" w:pos="1276"/>
          <w:tab w:val="left" w:pos="1418"/>
          <w:tab w:val="left" w:pos="7938"/>
        </w:tabs>
        <w:spacing w:after="0" w:line="240" w:lineRule="auto"/>
        <w:rPr>
          <w:rFonts w:eastAsia="Times New Roman" w:cs="Calibri"/>
          <w:sz w:val="20"/>
          <w:szCs w:val="20"/>
          <w:lang w:val="uk-UA" w:eastAsia="ru-RU"/>
        </w:rPr>
      </w:pPr>
    </w:p>
    <w:sectPr w:rsidR="0051698A" w:rsidRPr="00984214" w:rsidSect="00491BAA">
      <w:footerReference w:type="default" r:id="rId18"/>
      <w:type w:val="continuous"/>
      <w:pgSz w:w="11906" w:h="16838" w:code="9"/>
      <w:pgMar w:top="568" w:right="1134" w:bottom="426"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C76" w:rsidRDefault="004E0C76">
      <w:pPr>
        <w:spacing w:after="0" w:line="240" w:lineRule="auto"/>
      </w:pPr>
      <w:r>
        <w:separator/>
      </w:r>
    </w:p>
  </w:endnote>
  <w:endnote w:type="continuationSeparator" w:id="0">
    <w:p w:rsidR="004E0C76" w:rsidRDefault="004E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S Sans Serif">
    <w:panose1 w:val="00000000000000000000"/>
    <w:charset w:val="CC"/>
    <w:family w:val="swiss"/>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BA378A">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1F2216" w:rsidRPr="007C063D">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2216" w:rsidRPr="00B92961" w:rsidRDefault="00BA378A">
    <w:pPr>
      <w:pStyle w:val="a3"/>
      <w:jc w:val="right"/>
      <w:rPr>
        <w:rFonts w:ascii="Calibri" w:hAnsi="Calibri"/>
        <w:sz w:val="20"/>
        <w:szCs w:val="20"/>
      </w:rPr>
    </w:pPr>
    <w:r w:rsidRPr="00B92961">
      <w:rPr>
        <w:rFonts w:ascii="Calibri" w:hAnsi="Calibri"/>
        <w:sz w:val="20"/>
        <w:szCs w:val="20"/>
      </w:rPr>
      <w:fldChar w:fldCharType="begin"/>
    </w:r>
    <w:r w:rsidR="001F2216" w:rsidRPr="00B92961">
      <w:rPr>
        <w:rFonts w:ascii="Calibri" w:hAnsi="Calibri"/>
        <w:sz w:val="20"/>
        <w:szCs w:val="20"/>
      </w:rPr>
      <w:instrText>PAGE   \* MERGEFORMAT</w:instrText>
    </w:r>
    <w:r w:rsidRPr="00B92961">
      <w:rPr>
        <w:rFonts w:ascii="Calibri" w:hAnsi="Calibri"/>
        <w:sz w:val="20"/>
        <w:szCs w:val="20"/>
      </w:rPr>
      <w:fldChar w:fldCharType="separate"/>
    </w:r>
    <w:r w:rsidR="00A406BE" w:rsidRPr="00A406BE">
      <w:rPr>
        <w:rFonts w:ascii="Calibri" w:hAnsi="Calibri"/>
        <w:noProof/>
        <w:sz w:val="20"/>
        <w:szCs w:val="20"/>
        <w:lang w:val="uk-UA"/>
      </w:rPr>
      <w:t>2</w:t>
    </w:r>
    <w:r w:rsidRPr="00B92961">
      <w:rPr>
        <w:rFonts w:ascii="Calibri" w:hAnsi="Calibri"/>
        <w:sz w:val="20"/>
        <w:szCs w:val="20"/>
      </w:rPr>
      <w:fldChar w:fldCharType="end"/>
    </w:r>
  </w:p>
  <w:p w:rsidR="001F2216" w:rsidRDefault="001F221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C76" w:rsidRDefault="004E0C76">
      <w:pPr>
        <w:spacing w:after="0" w:line="240" w:lineRule="auto"/>
      </w:pPr>
      <w:r>
        <w:separator/>
      </w:r>
    </w:p>
  </w:footnote>
  <w:footnote w:type="continuationSeparator" w:id="0">
    <w:p w:rsidR="004E0C76" w:rsidRDefault="004E0C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1698A"/>
    <w:rsid w:val="0000036A"/>
    <w:rsid w:val="00001298"/>
    <w:rsid w:val="000028DF"/>
    <w:rsid w:val="00004DA8"/>
    <w:rsid w:val="000064A3"/>
    <w:rsid w:val="00006A2F"/>
    <w:rsid w:val="00007748"/>
    <w:rsid w:val="00010319"/>
    <w:rsid w:val="00011333"/>
    <w:rsid w:val="00012E64"/>
    <w:rsid w:val="00013565"/>
    <w:rsid w:val="00013945"/>
    <w:rsid w:val="00014CED"/>
    <w:rsid w:val="000153FC"/>
    <w:rsid w:val="000156ED"/>
    <w:rsid w:val="0001677B"/>
    <w:rsid w:val="00017471"/>
    <w:rsid w:val="00017BBA"/>
    <w:rsid w:val="0002093B"/>
    <w:rsid w:val="0002269F"/>
    <w:rsid w:val="000226D9"/>
    <w:rsid w:val="00023858"/>
    <w:rsid w:val="00025497"/>
    <w:rsid w:val="0002660F"/>
    <w:rsid w:val="000267E9"/>
    <w:rsid w:val="000307C3"/>
    <w:rsid w:val="00032A4B"/>
    <w:rsid w:val="00032F36"/>
    <w:rsid w:val="00033879"/>
    <w:rsid w:val="000349BB"/>
    <w:rsid w:val="000350EB"/>
    <w:rsid w:val="00036ACC"/>
    <w:rsid w:val="000379FC"/>
    <w:rsid w:val="000418D0"/>
    <w:rsid w:val="00044275"/>
    <w:rsid w:val="00046059"/>
    <w:rsid w:val="00050104"/>
    <w:rsid w:val="00050BE0"/>
    <w:rsid w:val="00051FDA"/>
    <w:rsid w:val="00052464"/>
    <w:rsid w:val="000527CF"/>
    <w:rsid w:val="000536BF"/>
    <w:rsid w:val="0005377C"/>
    <w:rsid w:val="00053CAD"/>
    <w:rsid w:val="00054C32"/>
    <w:rsid w:val="000550D6"/>
    <w:rsid w:val="00062B4F"/>
    <w:rsid w:val="00062DD3"/>
    <w:rsid w:val="00063A34"/>
    <w:rsid w:val="00063E1D"/>
    <w:rsid w:val="00064004"/>
    <w:rsid w:val="0006441F"/>
    <w:rsid w:val="00065517"/>
    <w:rsid w:val="00066622"/>
    <w:rsid w:val="000721F4"/>
    <w:rsid w:val="00072832"/>
    <w:rsid w:val="00073E18"/>
    <w:rsid w:val="00074860"/>
    <w:rsid w:val="00074965"/>
    <w:rsid w:val="00074D13"/>
    <w:rsid w:val="00075237"/>
    <w:rsid w:val="00076A2D"/>
    <w:rsid w:val="000773EE"/>
    <w:rsid w:val="00077424"/>
    <w:rsid w:val="00077738"/>
    <w:rsid w:val="00077929"/>
    <w:rsid w:val="00077B27"/>
    <w:rsid w:val="00081201"/>
    <w:rsid w:val="000812FE"/>
    <w:rsid w:val="00082136"/>
    <w:rsid w:val="0008418E"/>
    <w:rsid w:val="000859C7"/>
    <w:rsid w:val="00085CA6"/>
    <w:rsid w:val="000863E0"/>
    <w:rsid w:val="00086EBB"/>
    <w:rsid w:val="0008748C"/>
    <w:rsid w:val="00087746"/>
    <w:rsid w:val="00087F1E"/>
    <w:rsid w:val="0009014E"/>
    <w:rsid w:val="00093DC6"/>
    <w:rsid w:val="00093F15"/>
    <w:rsid w:val="00094276"/>
    <w:rsid w:val="00096CE4"/>
    <w:rsid w:val="00097053"/>
    <w:rsid w:val="000974CA"/>
    <w:rsid w:val="00097665"/>
    <w:rsid w:val="000A136B"/>
    <w:rsid w:val="000A1909"/>
    <w:rsid w:val="000A3384"/>
    <w:rsid w:val="000A54E3"/>
    <w:rsid w:val="000A6798"/>
    <w:rsid w:val="000B1A33"/>
    <w:rsid w:val="000B21C8"/>
    <w:rsid w:val="000B4489"/>
    <w:rsid w:val="000B652E"/>
    <w:rsid w:val="000B6BA7"/>
    <w:rsid w:val="000C004D"/>
    <w:rsid w:val="000C11F2"/>
    <w:rsid w:val="000C3ECD"/>
    <w:rsid w:val="000C51B3"/>
    <w:rsid w:val="000C5B41"/>
    <w:rsid w:val="000C5DAD"/>
    <w:rsid w:val="000C63F8"/>
    <w:rsid w:val="000C6F39"/>
    <w:rsid w:val="000C7DCB"/>
    <w:rsid w:val="000C7F81"/>
    <w:rsid w:val="000D1645"/>
    <w:rsid w:val="000D457E"/>
    <w:rsid w:val="000D45A9"/>
    <w:rsid w:val="000D5340"/>
    <w:rsid w:val="000D66E0"/>
    <w:rsid w:val="000D7CA9"/>
    <w:rsid w:val="000E0331"/>
    <w:rsid w:val="000E094A"/>
    <w:rsid w:val="000E1208"/>
    <w:rsid w:val="000E4B9C"/>
    <w:rsid w:val="000E74B2"/>
    <w:rsid w:val="000E77C3"/>
    <w:rsid w:val="000F11A4"/>
    <w:rsid w:val="000F18BA"/>
    <w:rsid w:val="000F3528"/>
    <w:rsid w:val="000F5996"/>
    <w:rsid w:val="000F6027"/>
    <w:rsid w:val="000F7808"/>
    <w:rsid w:val="00100658"/>
    <w:rsid w:val="00100F8E"/>
    <w:rsid w:val="00100FA4"/>
    <w:rsid w:val="00101173"/>
    <w:rsid w:val="00101383"/>
    <w:rsid w:val="00102394"/>
    <w:rsid w:val="0010320E"/>
    <w:rsid w:val="00103B29"/>
    <w:rsid w:val="00105090"/>
    <w:rsid w:val="001071D0"/>
    <w:rsid w:val="001100F8"/>
    <w:rsid w:val="00110576"/>
    <w:rsid w:val="00111838"/>
    <w:rsid w:val="0011401C"/>
    <w:rsid w:val="0011406B"/>
    <w:rsid w:val="00114427"/>
    <w:rsid w:val="0011446A"/>
    <w:rsid w:val="00116852"/>
    <w:rsid w:val="00116E7F"/>
    <w:rsid w:val="00117603"/>
    <w:rsid w:val="00120900"/>
    <w:rsid w:val="00121D1B"/>
    <w:rsid w:val="0012217C"/>
    <w:rsid w:val="00122355"/>
    <w:rsid w:val="001232BF"/>
    <w:rsid w:val="00123671"/>
    <w:rsid w:val="001239A4"/>
    <w:rsid w:val="00124438"/>
    <w:rsid w:val="00124B98"/>
    <w:rsid w:val="0012576E"/>
    <w:rsid w:val="00130165"/>
    <w:rsid w:val="00130A7B"/>
    <w:rsid w:val="00130B98"/>
    <w:rsid w:val="0013107A"/>
    <w:rsid w:val="00131C84"/>
    <w:rsid w:val="00132281"/>
    <w:rsid w:val="0013466D"/>
    <w:rsid w:val="00135972"/>
    <w:rsid w:val="00135C55"/>
    <w:rsid w:val="00135C6B"/>
    <w:rsid w:val="00136092"/>
    <w:rsid w:val="00136B51"/>
    <w:rsid w:val="00137E8E"/>
    <w:rsid w:val="00141E02"/>
    <w:rsid w:val="001431A4"/>
    <w:rsid w:val="00146B69"/>
    <w:rsid w:val="00146CD3"/>
    <w:rsid w:val="0014726A"/>
    <w:rsid w:val="001475DF"/>
    <w:rsid w:val="00147B3F"/>
    <w:rsid w:val="00150707"/>
    <w:rsid w:val="00151102"/>
    <w:rsid w:val="0015503C"/>
    <w:rsid w:val="00155E43"/>
    <w:rsid w:val="0015645E"/>
    <w:rsid w:val="001604A2"/>
    <w:rsid w:val="001623B3"/>
    <w:rsid w:val="00164A5F"/>
    <w:rsid w:val="00166741"/>
    <w:rsid w:val="00167336"/>
    <w:rsid w:val="00167511"/>
    <w:rsid w:val="0017060F"/>
    <w:rsid w:val="0017234A"/>
    <w:rsid w:val="00172775"/>
    <w:rsid w:val="00174449"/>
    <w:rsid w:val="00177A54"/>
    <w:rsid w:val="00177D89"/>
    <w:rsid w:val="001804F8"/>
    <w:rsid w:val="00181493"/>
    <w:rsid w:val="001824ED"/>
    <w:rsid w:val="00182DE9"/>
    <w:rsid w:val="0018449C"/>
    <w:rsid w:val="0018567E"/>
    <w:rsid w:val="001859EA"/>
    <w:rsid w:val="00185D0F"/>
    <w:rsid w:val="001924CD"/>
    <w:rsid w:val="00192E03"/>
    <w:rsid w:val="00193B58"/>
    <w:rsid w:val="00193D8F"/>
    <w:rsid w:val="0019496B"/>
    <w:rsid w:val="001955B7"/>
    <w:rsid w:val="00195685"/>
    <w:rsid w:val="001957A1"/>
    <w:rsid w:val="00195B68"/>
    <w:rsid w:val="00196899"/>
    <w:rsid w:val="0019751D"/>
    <w:rsid w:val="0019772C"/>
    <w:rsid w:val="00197EEB"/>
    <w:rsid w:val="001A330C"/>
    <w:rsid w:val="001A35F6"/>
    <w:rsid w:val="001A6667"/>
    <w:rsid w:val="001A676C"/>
    <w:rsid w:val="001A6ED0"/>
    <w:rsid w:val="001A7310"/>
    <w:rsid w:val="001A7EA8"/>
    <w:rsid w:val="001B00BA"/>
    <w:rsid w:val="001B04F2"/>
    <w:rsid w:val="001B247C"/>
    <w:rsid w:val="001B377E"/>
    <w:rsid w:val="001B3F84"/>
    <w:rsid w:val="001B4BB7"/>
    <w:rsid w:val="001B5056"/>
    <w:rsid w:val="001B6A40"/>
    <w:rsid w:val="001B7C5C"/>
    <w:rsid w:val="001B7C86"/>
    <w:rsid w:val="001C0792"/>
    <w:rsid w:val="001C1996"/>
    <w:rsid w:val="001C241F"/>
    <w:rsid w:val="001C4888"/>
    <w:rsid w:val="001C5841"/>
    <w:rsid w:val="001C5BB0"/>
    <w:rsid w:val="001C64A0"/>
    <w:rsid w:val="001D02AD"/>
    <w:rsid w:val="001D1E44"/>
    <w:rsid w:val="001D312D"/>
    <w:rsid w:val="001D3F04"/>
    <w:rsid w:val="001D46F4"/>
    <w:rsid w:val="001D58B2"/>
    <w:rsid w:val="001D58C2"/>
    <w:rsid w:val="001D6894"/>
    <w:rsid w:val="001E082A"/>
    <w:rsid w:val="001E1B85"/>
    <w:rsid w:val="001E255B"/>
    <w:rsid w:val="001E32AC"/>
    <w:rsid w:val="001E3F07"/>
    <w:rsid w:val="001E6BCF"/>
    <w:rsid w:val="001E6D62"/>
    <w:rsid w:val="001F1816"/>
    <w:rsid w:val="001F2216"/>
    <w:rsid w:val="001F22A3"/>
    <w:rsid w:val="001F36A8"/>
    <w:rsid w:val="001F3CD3"/>
    <w:rsid w:val="001F4303"/>
    <w:rsid w:val="001F5F6B"/>
    <w:rsid w:val="001F7DDF"/>
    <w:rsid w:val="002006FA"/>
    <w:rsid w:val="002007D9"/>
    <w:rsid w:val="002021B3"/>
    <w:rsid w:val="0020257F"/>
    <w:rsid w:val="00202789"/>
    <w:rsid w:val="00203254"/>
    <w:rsid w:val="002049DF"/>
    <w:rsid w:val="002050E2"/>
    <w:rsid w:val="002067CB"/>
    <w:rsid w:val="002071BF"/>
    <w:rsid w:val="00207535"/>
    <w:rsid w:val="00207762"/>
    <w:rsid w:val="00210A2B"/>
    <w:rsid w:val="002140D8"/>
    <w:rsid w:val="002142DF"/>
    <w:rsid w:val="00214368"/>
    <w:rsid w:val="0021576B"/>
    <w:rsid w:val="00215F83"/>
    <w:rsid w:val="00217655"/>
    <w:rsid w:val="002176F5"/>
    <w:rsid w:val="00221502"/>
    <w:rsid w:val="00221F64"/>
    <w:rsid w:val="00224AF4"/>
    <w:rsid w:val="00224EDA"/>
    <w:rsid w:val="00225FF1"/>
    <w:rsid w:val="00226128"/>
    <w:rsid w:val="002309B1"/>
    <w:rsid w:val="002312BA"/>
    <w:rsid w:val="0023183A"/>
    <w:rsid w:val="002329E7"/>
    <w:rsid w:val="00232F0C"/>
    <w:rsid w:val="002338E8"/>
    <w:rsid w:val="002349CD"/>
    <w:rsid w:val="00235880"/>
    <w:rsid w:val="00235D5B"/>
    <w:rsid w:val="00236929"/>
    <w:rsid w:val="00236A92"/>
    <w:rsid w:val="00236B5D"/>
    <w:rsid w:val="002372C8"/>
    <w:rsid w:val="00237D92"/>
    <w:rsid w:val="002401EC"/>
    <w:rsid w:val="00240C4F"/>
    <w:rsid w:val="00241393"/>
    <w:rsid w:val="002414F5"/>
    <w:rsid w:val="00241AEE"/>
    <w:rsid w:val="00241BE6"/>
    <w:rsid w:val="00242D7F"/>
    <w:rsid w:val="0024307E"/>
    <w:rsid w:val="00243486"/>
    <w:rsid w:val="00243A2A"/>
    <w:rsid w:val="002441F4"/>
    <w:rsid w:val="002448BF"/>
    <w:rsid w:val="002451FC"/>
    <w:rsid w:val="00245862"/>
    <w:rsid w:val="00246182"/>
    <w:rsid w:val="0025038B"/>
    <w:rsid w:val="00250FD5"/>
    <w:rsid w:val="002528F5"/>
    <w:rsid w:val="00252F4F"/>
    <w:rsid w:val="00255592"/>
    <w:rsid w:val="002557B2"/>
    <w:rsid w:val="002557BF"/>
    <w:rsid w:val="00256DB5"/>
    <w:rsid w:val="00256F2F"/>
    <w:rsid w:val="002574F1"/>
    <w:rsid w:val="00260174"/>
    <w:rsid w:val="00261DDE"/>
    <w:rsid w:val="002623E2"/>
    <w:rsid w:val="00262DAC"/>
    <w:rsid w:val="00262FD2"/>
    <w:rsid w:val="00263427"/>
    <w:rsid w:val="00263546"/>
    <w:rsid w:val="002639BD"/>
    <w:rsid w:val="00264F52"/>
    <w:rsid w:val="002650B4"/>
    <w:rsid w:val="00265A70"/>
    <w:rsid w:val="00266F14"/>
    <w:rsid w:val="002701CE"/>
    <w:rsid w:val="002705BA"/>
    <w:rsid w:val="00270B8F"/>
    <w:rsid w:val="00270D3E"/>
    <w:rsid w:val="00272701"/>
    <w:rsid w:val="00272AE0"/>
    <w:rsid w:val="0027393A"/>
    <w:rsid w:val="0027570E"/>
    <w:rsid w:val="0027711C"/>
    <w:rsid w:val="0028387E"/>
    <w:rsid w:val="00286528"/>
    <w:rsid w:val="002872AA"/>
    <w:rsid w:val="00287D6D"/>
    <w:rsid w:val="00287DA3"/>
    <w:rsid w:val="0029029B"/>
    <w:rsid w:val="00290465"/>
    <w:rsid w:val="00290C38"/>
    <w:rsid w:val="00292AA4"/>
    <w:rsid w:val="00295CDB"/>
    <w:rsid w:val="00296C5B"/>
    <w:rsid w:val="002A1537"/>
    <w:rsid w:val="002A17F7"/>
    <w:rsid w:val="002A25F2"/>
    <w:rsid w:val="002A28B6"/>
    <w:rsid w:val="002A30BE"/>
    <w:rsid w:val="002A33DB"/>
    <w:rsid w:val="002A3A1D"/>
    <w:rsid w:val="002A45FC"/>
    <w:rsid w:val="002A6726"/>
    <w:rsid w:val="002B192B"/>
    <w:rsid w:val="002B1F13"/>
    <w:rsid w:val="002B1F57"/>
    <w:rsid w:val="002B2231"/>
    <w:rsid w:val="002B2665"/>
    <w:rsid w:val="002B3119"/>
    <w:rsid w:val="002B3703"/>
    <w:rsid w:val="002B42EB"/>
    <w:rsid w:val="002B649C"/>
    <w:rsid w:val="002B6525"/>
    <w:rsid w:val="002B7C16"/>
    <w:rsid w:val="002C08D5"/>
    <w:rsid w:val="002C0ABB"/>
    <w:rsid w:val="002C1860"/>
    <w:rsid w:val="002C19DD"/>
    <w:rsid w:val="002C212A"/>
    <w:rsid w:val="002C28F7"/>
    <w:rsid w:val="002C394D"/>
    <w:rsid w:val="002C46C7"/>
    <w:rsid w:val="002C60D1"/>
    <w:rsid w:val="002C637A"/>
    <w:rsid w:val="002D0335"/>
    <w:rsid w:val="002D2031"/>
    <w:rsid w:val="002D2449"/>
    <w:rsid w:val="002D33E7"/>
    <w:rsid w:val="002D3855"/>
    <w:rsid w:val="002D46E3"/>
    <w:rsid w:val="002D4C43"/>
    <w:rsid w:val="002D5EF5"/>
    <w:rsid w:val="002D72C6"/>
    <w:rsid w:val="002D77D7"/>
    <w:rsid w:val="002E26B8"/>
    <w:rsid w:val="002E3D86"/>
    <w:rsid w:val="002E40D2"/>
    <w:rsid w:val="002E47F6"/>
    <w:rsid w:val="002E76E9"/>
    <w:rsid w:val="002E781B"/>
    <w:rsid w:val="002E7E55"/>
    <w:rsid w:val="002F2D47"/>
    <w:rsid w:val="002F3428"/>
    <w:rsid w:val="002F379A"/>
    <w:rsid w:val="002F3895"/>
    <w:rsid w:val="002F3BD9"/>
    <w:rsid w:val="002F6D2B"/>
    <w:rsid w:val="002F7806"/>
    <w:rsid w:val="002F7B85"/>
    <w:rsid w:val="00300F05"/>
    <w:rsid w:val="00301EC0"/>
    <w:rsid w:val="00302A8F"/>
    <w:rsid w:val="00303812"/>
    <w:rsid w:val="00305969"/>
    <w:rsid w:val="00305D75"/>
    <w:rsid w:val="00305E72"/>
    <w:rsid w:val="00305FF4"/>
    <w:rsid w:val="00306752"/>
    <w:rsid w:val="003072CB"/>
    <w:rsid w:val="00307FB5"/>
    <w:rsid w:val="00310D41"/>
    <w:rsid w:val="00311578"/>
    <w:rsid w:val="00314741"/>
    <w:rsid w:val="00314E76"/>
    <w:rsid w:val="00315C29"/>
    <w:rsid w:val="00316677"/>
    <w:rsid w:val="00320491"/>
    <w:rsid w:val="00320DDF"/>
    <w:rsid w:val="003213C9"/>
    <w:rsid w:val="00324CB9"/>
    <w:rsid w:val="00325BA7"/>
    <w:rsid w:val="00326125"/>
    <w:rsid w:val="003263B8"/>
    <w:rsid w:val="00326453"/>
    <w:rsid w:val="00326686"/>
    <w:rsid w:val="00333C87"/>
    <w:rsid w:val="0033690C"/>
    <w:rsid w:val="00336CD5"/>
    <w:rsid w:val="00337650"/>
    <w:rsid w:val="0034029E"/>
    <w:rsid w:val="00340470"/>
    <w:rsid w:val="00340547"/>
    <w:rsid w:val="00340AE5"/>
    <w:rsid w:val="00341762"/>
    <w:rsid w:val="003426FF"/>
    <w:rsid w:val="003429E1"/>
    <w:rsid w:val="00343DCB"/>
    <w:rsid w:val="003444B7"/>
    <w:rsid w:val="00344FE6"/>
    <w:rsid w:val="00346C50"/>
    <w:rsid w:val="0034772F"/>
    <w:rsid w:val="003528DF"/>
    <w:rsid w:val="003534DB"/>
    <w:rsid w:val="00353C10"/>
    <w:rsid w:val="00353C3D"/>
    <w:rsid w:val="00353DBD"/>
    <w:rsid w:val="003548D1"/>
    <w:rsid w:val="0035491B"/>
    <w:rsid w:val="00355AB2"/>
    <w:rsid w:val="00355FA7"/>
    <w:rsid w:val="00356837"/>
    <w:rsid w:val="00357B8B"/>
    <w:rsid w:val="003618E0"/>
    <w:rsid w:val="003628DD"/>
    <w:rsid w:val="003647CA"/>
    <w:rsid w:val="00365587"/>
    <w:rsid w:val="003658E2"/>
    <w:rsid w:val="00365C14"/>
    <w:rsid w:val="00371027"/>
    <w:rsid w:val="003713C8"/>
    <w:rsid w:val="003729B5"/>
    <w:rsid w:val="00372E32"/>
    <w:rsid w:val="003744FC"/>
    <w:rsid w:val="00374694"/>
    <w:rsid w:val="003750A7"/>
    <w:rsid w:val="00376441"/>
    <w:rsid w:val="00377C67"/>
    <w:rsid w:val="00381D88"/>
    <w:rsid w:val="00382AE2"/>
    <w:rsid w:val="00382BDD"/>
    <w:rsid w:val="0038505E"/>
    <w:rsid w:val="00385E72"/>
    <w:rsid w:val="00391840"/>
    <w:rsid w:val="00391C50"/>
    <w:rsid w:val="00393367"/>
    <w:rsid w:val="00394080"/>
    <w:rsid w:val="00394447"/>
    <w:rsid w:val="00395D7F"/>
    <w:rsid w:val="0039647A"/>
    <w:rsid w:val="003965AC"/>
    <w:rsid w:val="003A2662"/>
    <w:rsid w:val="003A355F"/>
    <w:rsid w:val="003A36D7"/>
    <w:rsid w:val="003A5B48"/>
    <w:rsid w:val="003A5FC3"/>
    <w:rsid w:val="003A783C"/>
    <w:rsid w:val="003A7A09"/>
    <w:rsid w:val="003B3391"/>
    <w:rsid w:val="003B5755"/>
    <w:rsid w:val="003B58A4"/>
    <w:rsid w:val="003B661A"/>
    <w:rsid w:val="003B6CD3"/>
    <w:rsid w:val="003C0A95"/>
    <w:rsid w:val="003C15EE"/>
    <w:rsid w:val="003C194A"/>
    <w:rsid w:val="003C45A9"/>
    <w:rsid w:val="003C4A10"/>
    <w:rsid w:val="003C5856"/>
    <w:rsid w:val="003C6B87"/>
    <w:rsid w:val="003C6E3F"/>
    <w:rsid w:val="003D007F"/>
    <w:rsid w:val="003D032D"/>
    <w:rsid w:val="003D0A61"/>
    <w:rsid w:val="003D20EC"/>
    <w:rsid w:val="003D4D7D"/>
    <w:rsid w:val="003D6995"/>
    <w:rsid w:val="003D6ADA"/>
    <w:rsid w:val="003D7702"/>
    <w:rsid w:val="003D7E23"/>
    <w:rsid w:val="003E16A8"/>
    <w:rsid w:val="003E25C6"/>
    <w:rsid w:val="003E3F62"/>
    <w:rsid w:val="003E3FC4"/>
    <w:rsid w:val="003E758E"/>
    <w:rsid w:val="003F0A88"/>
    <w:rsid w:val="003F16DE"/>
    <w:rsid w:val="003F1CF0"/>
    <w:rsid w:val="003F1F5B"/>
    <w:rsid w:val="003F2161"/>
    <w:rsid w:val="003F21E2"/>
    <w:rsid w:val="003F3A5D"/>
    <w:rsid w:val="003F4243"/>
    <w:rsid w:val="003F42BE"/>
    <w:rsid w:val="003F4E59"/>
    <w:rsid w:val="003F6F12"/>
    <w:rsid w:val="003F7AD3"/>
    <w:rsid w:val="003F7C5D"/>
    <w:rsid w:val="0040633F"/>
    <w:rsid w:val="00406525"/>
    <w:rsid w:val="00406CD1"/>
    <w:rsid w:val="00410322"/>
    <w:rsid w:val="00410B55"/>
    <w:rsid w:val="00410BFB"/>
    <w:rsid w:val="00410D35"/>
    <w:rsid w:val="00411458"/>
    <w:rsid w:val="004118BA"/>
    <w:rsid w:val="00411C56"/>
    <w:rsid w:val="0041213D"/>
    <w:rsid w:val="004125D5"/>
    <w:rsid w:val="00413B40"/>
    <w:rsid w:val="00413C16"/>
    <w:rsid w:val="00413EE4"/>
    <w:rsid w:val="00415509"/>
    <w:rsid w:val="0041638E"/>
    <w:rsid w:val="00420B66"/>
    <w:rsid w:val="00422A9C"/>
    <w:rsid w:val="00423EF1"/>
    <w:rsid w:val="0042457B"/>
    <w:rsid w:val="004254B6"/>
    <w:rsid w:val="00427AF7"/>
    <w:rsid w:val="004305EB"/>
    <w:rsid w:val="0043286B"/>
    <w:rsid w:val="00432B20"/>
    <w:rsid w:val="00432EF4"/>
    <w:rsid w:val="00433404"/>
    <w:rsid w:val="0043386A"/>
    <w:rsid w:val="0043398C"/>
    <w:rsid w:val="0043418B"/>
    <w:rsid w:val="00434CC2"/>
    <w:rsid w:val="004359D0"/>
    <w:rsid w:val="004360DA"/>
    <w:rsid w:val="00437C96"/>
    <w:rsid w:val="00441BBF"/>
    <w:rsid w:val="00441D2F"/>
    <w:rsid w:val="004424F9"/>
    <w:rsid w:val="00444A39"/>
    <w:rsid w:val="004451B3"/>
    <w:rsid w:val="004453AA"/>
    <w:rsid w:val="00445D31"/>
    <w:rsid w:val="004463C9"/>
    <w:rsid w:val="00446F55"/>
    <w:rsid w:val="00447001"/>
    <w:rsid w:val="00450DD6"/>
    <w:rsid w:val="004519FD"/>
    <w:rsid w:val="0045291B"/>
    <w:rsid w:val="00453CBC"/>
    <w:rsid w:val="00453F4C"/>
    <w:rsid w:val="0045503A"/>
    <w:rsid w:val="004555B7"/>
    <w:rsid w:val="00455DB0"/>
    <w:rsid w:val="00457343"/>
    <w:rsid w:val="00457653"/>
    <w:rsid w:val="00460D13"/>
    <w:rsid w:val="00461AA3"/>
    <w:rsid w:val="0046205F"/>
    <w:rsid w:val="0046228F"/>
    <w:rsid w:val="00464BE2"/>
    <w:rsid w:val="00465054"/>
    <w:rsid w:val="004651C2"/>
    <w:rsid w:val="00465242"/>
    <w:rsid w:val="00466863"/>
    <w:rsid w:val="004704DC"/>
    <w:rsid w:val="004708E5"/>
    <w:rsid w:val="0047137A"/>
    <w:rsid w:val="004730EA"/>
    <w:rsid w:val="00476008"/>
    <w:rsid w:val="00476A6B"/>
    <w:rsid w:val="00476F2F"/>
    <w:rsid w:val="00480B05"/>
    <w:rsid w:val="004812BD"/>
    <w:rsid w:val="004817AF"/>
    <w:rsid w:val="00481EAE"/>
    <w:rsid w:val="0048200C"/>
    <w:rsid w:val="00482E32"/>
    <w:rsid w:val="00483973"/>
    <w:rsid w:val="004854A2"/>
    <w:rsid w:val="00485D56"/>
    <w:rsid w:val="0048683E"/>
    <w:rsid w:val="00487D28"/>
    <w:rsid w:val="00491BAA"/>
    <w:rsid w:val="00492EBA"/>
    <w:rsid w:val="00494656"/>
    <w:rsid w:val="0049481D"/>
    <w:rsid w:val="00496588"/>
    <w:rsid w:val="00496F6A"/>
    <w:rsid w:val="00497426"/>
    <w:rsid w:val="00497641"/>
    <w:rsid w:val="004A0022"/>
    <w:rsid w:val="004A06F8"/>
    <w:rsid w:val="004A0D88"/>
    <w:rsid w:val="004A125E"/>
    <w:rsid w:val="004A3238"/>
    <w:rsid w:val="004A435F"/>
    <w:rsid w:val="004A4F78"/>
    <w:rsid w:val="004A5FB0"/>
    <w:rsid w:val="004B0025"/>
    <w:rsid w:val="004B00A2"/>
    <w:rsid w:val="004B1E14"/>
    <w:rsid w:val="004B226A"/>
    <w:rsid w:val="004B2507"/>
    <w:rsid w:val="004B36B2"/>
    <w:rsid w:val="004B4986"/>
    <w:rsid w:val="004B552E"/>
    <w:rsid w:val="004B5689"/>
    <w:rsid w:val="004B5BF9"/>
    <w:rsid w:val="004B6A0D"/>
    <w:rsid w:val="004B74BE"/>
    <w:rsid w:val="004B7E47"/>
    <w:rsid w:val="004C05D0"/>
    <w:rsid w:val="004C2246"/>
    <w:rsid w:val="004C235D"/>
    <w:rsid w:val="004C372D"/>
    <w:rsid w:val="004C427C"/>
    <w:rsid w:val="004C4C59"/>
    <w:rsid w:val="004C6544"/>
    <w:rsid w:val="004C7E8A"/>
    <w:rsid w:val="004D0C14"/>
    <w:rsid w:val="004D19EC"/>
    <w:rsid w:val="004D22A9"/>
    <w:rsid w:val="004D26BC"/>
    <w:rsid w:val="004D2DA2"/>
    <w:rsid w:val="004D696B"/>
    <w:rsid w:val="004D6E2B"/>
    <w:rsid w:val="004E0C76"/>
    <w:rsid w:val="004E12FB"/>
    <w:rsid w:val="004E1711"/>
    <w:rsid w:val="004E301B"/>
    <w:rsid w:val="004E3CAF"/>
    <w:rsid w:val="004E445E"/>
    <w:rsid w:val="004E4D8B"/>
    <w:rsid w:val="004E58F9"/>
    <w:rsid w:val="004E5A30"/>
    <w:rsid w:val="004E6D01"/>
    <w:rsid w:val="004E78D5"/>
    <w:rsid w:val="004F0583"/>
    <w:rsid w:val="004F0DF3"/>
    <w:rsid w:val="004F0F5C"/>
    <w:rsid w:val="004F3B3D"/>
    <w:rsid w:val="004F7B1C"/>
    <w:rsid w:val="00501D7F"/>
    <w:rsid w:val="005028F0"/>
    <w:rsid w:val="0050585D"/>
    <w:rsid w:val="005071DA"/>
    <w:rsid w:val="00507895"/>
    <w:rsid w:val="00511B13"/>
    <w:rsid w:val="00511F8C"/>
    <w:rsid w:val="00514434"/>
    <w:rsid w:val="00514B96"/>
    <w:rsid w:val="00515E1A"/>
    <w:rsid w:val="0051698A"/>
    <w:rsid w:val="005172A1"/>
    <w:rsid w:val="00522CF0"/>
    <w:rsid w:val="00523042"/>
    <w:rsid w:val="005252B6"/>
    <w:rsid w:val="00525E60"/>
    <w:rsid w:val="00526D63"/>
    <w:rsid w:val="00526FE8"/>
    <w:rsid w:val="005275E3"/>
    <w:rsid w:val="00527BEA"/>
    <w:rsid w:val="00530548"/>
    <w:rsid w:val="00530F3B"/>
    <w:rsid w:val="00531150"/>
    <w:rsid w:val="00531918"/>
    <w:rsid w:val="00532B6D"/>
    <w:rsid w:val="0053456C"/>
    <w:rsid w:val="00537327"/>
    <w:rsid w:val="00537F9A"/>
    <w:rsid w:val="005400E8"/>
    <w:rsid w:val="00540E86"/>
    <w:rsid w:val="00541CC3"/>
    <w:rsid w:val="00541FC9"/>
    <w:rsid w:val="00542E2E"/>
    <w:rsid w:val="00544577"/>
    <w:rsid w:val="00544B4C"/>
    <w:rsid w:val="0054694D"/>
    <w:rsid w:val="00550CC9"/>
    <w:rsid w:val="00551522"/>
    <w:rsid w:val="0055284A"/>
    <w:rsid w:val="00552882"/>
    <w:rsid w:val="005541ED"/>
    <w:rsid w:val="00555B3D"/>
    <w:rsid w:val="00555B65"/>
    <w:rsid w:val="00555BE9"/>
    <w:rsid w:val="005572DF"/>
    <w:rsid w:val="00560227"/>
    <w:rsid w:val="005604C8"/>
    <w:rsid w:val="00561D68"/>
    <w:rsid w:val="005623FA"/>
    <w:rsid w:val="00563D5B"/>
    <w:rsid w:val="00564868"/>
    <w:rsid w:val="00564E7B"/>
    <w:rsid w:val="00565008"/>
    <w:rsid w:val="00565DF1"/>
    <w:rsid w:val="005660A3"/>
    <w:rsid w:val="0056756C"/>
    <w:rsid w:val="00567764"/>
    <w:rsid w:val="0057497C"/>
    <w:rsid w:val="0057719C"/>
    <w:rsid w:val="00581521"/>
    <w:rsid w:val="00581B2C"/>
    <w:rsid w:val="00581CB3"/>
    <w:rsid w:val="005826E7"/>
    <w:rsid w:val="00582A94"/>
    <w:rsid w:val="00584184"/>
    <w:rsid w:val="0058437A"/>
    <w:rsid w:val="005854BB"/>
    <w:rsid w:val="005858AB"/>
    <w:rsid w:val="00585D7F"/>
    <w:rsid w:val="005907D6"/>
    <w:rsid w:val="00590F46"/>
    <w:rsid w:val="00591357"/>
    <w:rsid w:val="0059281E"/>
    <w:rsid w:val="00593230"/>
    <w:rsid w:val="0059345A"/>
    <w:rsid w:val="005941F9"/>
    <w:rsid w:val="00594C1C"/>
    <w:rsid w:val="005953AA"/>
    <w:rsid w:val="00595B1F"/>
    <w:rsid w:val="00595E49"/>
    <w:rsid w:val="00597864"/>
    <w:rsid w:val="005A010F"/>
    <w:rsid w:val="005A05F6"/>
    <w:rsid w:val="005A1D71"/>
    <w:rsid w:val="005A226D"/>
    <w:rsid w:val="005A2B72"/>
    <w:rsid w:val="005A48E8"/>
    <w:rsid w:val="005A4EC0"/>
    <w:rsid w:val="005A6740"/>
    <w:rsid w:val="005A6E05"/>
    <w:rsid w:val="005A735A"/>
    <w:rsid w:val="005B1C90"/>
    <w:rsid w:val="005B2AE8"/>
    <w:rsid w:val="005B2D72"/>
    <w:rsid w:val="005B5894"/>
    <w:rsid w:val="005B5B15"/>
    <w:rsid w:val="005C0591"/>
    <w:rsid w:val="005C0B39"/>
    <w:rsid w:val="005C1036"/>
    <w:rsid w:val="005C260B"/>
    <w:rsid w:val="005C380F"/>
    <w:rsid w:val="005C5075"/>
    <w:rsid w:val="005C58B2"/>
    <w:rsid w:val="005C690C"/>
    <w:rsid w:val="005C7B43"/>
    <w:rsid w:val="005C7C06"/>
    <w:rsid w:val="005C7EEC"/>
    <w:rsid w:val="005D00E2"/>
    <w:rsid w:val="005D2BCF"/>
    <w:rsid w:val="005D42B4"/>
    <w:rsid w:val="005D6E3A"/>
    <w:rsid w:val="005D7AB9"/>
    <w:rsid w:val="005E0F3C"/>
    <w:rsid w:val="005E7CCE"/>
    <w:rsid w:val="005E7E38"/>
    <w:rsid w:val="005F0174"/>
    <w:rsid w:val="005F09F9"/>
    <w:rsid w:val="005F2605"/>
    <w:rsid w:val="005F2C43"/>
    <w:rsid w:val="005F69FE"/>
    <w:rsid w:val="00604C04"/>
    <w:rsid w:val="0061139A"/>
    <w:rsid w:val="00611E04"/>
    <w:rsid w:val="00612804"/>
    <w:rsid w:val="006132B0"/>
    <w:rsid w:val="006134F9"/>
    <w:rsid w:val="00614366"/>
    <w:rsid w:val="00616E45"/>
    <w:rsid w:val="00616F6D"/>
    <w:rsid w:val="00617DAB"/>
    <w:rsid w:val="00617F2C"/>
    <w:rsid w:val="00620097"/>
    <w:rsid w:val="00620514"/>
    <w:rsid w:val="00620540"/>
    <w:rsid w:val="006205F6"/>
    <w:rsid w:val="0062128E"/>
    <w:rsid w:val="00622138"/>
    <w:rsid w:val="00622447"/>
    <w:rsid w:val="00623204"/>
    <w:rsid w:val="00623625"/>
    <w:rsid w:val="00624110"/>
    <w:rsid w:val="006245A8"/>
    <w:rsid w:val="006263D2"/>
    <w:rsid w:val="00626F87"/>
    <w:rsid w:val="00627F90"/>
    <w:rsid w:val="00630218"/>
    <w:rsid w:val="006318FE"/>
    <w:rsid w:val="006319EB"/>
    <w:rsid w:val="0063213F"/>
    <w:rsid w:val="00632392"/>
    <w:rsid w:val="00632E3E"/>
    <w:rsid w:val="006332E4"/>
    <w:rsid w:val="00633321"/>
    <w:rsid w:val="00633AB6"/>
    <w:rsid w:val="00637208"/>
    <w:rsid w:val="006374CD"/>
    <w:rsid w:val="00640303"/>
    <w:rsid w:val="006417A1"/>
    <w:rsid w:val="006428B8"/>
    <w:rsid w:val="0064490E"/>
    <w:rsid w:val="006453FA"/>
    <w:rsid w:val="0064672B"/>
    <w:rsid w:val="0064796F"/>
    <w:rsid w:val="00650865"/>
    <w:rsid w:val="00650F9E"/>
    <w:rsid w:val="00651968"/>
    <w:rsid w:val="00652655"/>
    <w:rsid w:val="00652801"/>
    <w:rsid w:val="006536DF"/>
    <w:rsid w:val="00654FBD"/>
    <w:rsid w:val="006658E1"/>
    <w:rsid w:val="00670F23"/>
    <w:rsid w:val="00670FD2"/>
    <w:rsid w:val="0067159E"/>
    <w:rsid w:val="00672318"/>
    <w:rsid w:val="0067271E"/>
    <w:rsid w:val="006729B7"/>
    <w:rsid w:val="00672DF4"/>
    <w:rsid w:val="006730D8"/>
    <w:rsid w:val="006735BF"/>
    <w:rsid w:val="006739FB"/>
    <w:rsid w:val="00676463"/>
    <w:rsid w:val="00676468"/>
    <w:rsid w:val="00677FBA"/>
    <w:rsid w:val="006805DA"/>
    <w:rsid w:val="00683808"/>
    <w:rsid w:val="00686F59"/>
    <w:rsid w:val="00687D3D"/>
    <w:rsid w:val="00687EF3"/>
    <w:rsid w:val="00690813"/>
    <w:rsid w:val="0069110B"/>
    <w:rsid w:val="006918A8"/>
    <w:rsid w:val="00692AD5"/>
    <w:rsid w:val="00693957"/>
    <w:rsid w:val="00694CCE"/>
    <w:rsid w:val="00695100"/>
    <w:rsid w:val="006A00B9"/>
    <w:rsid w:val="006A0481"/>
    <w:rsid w:val="006A0AEB"/>
    <w:rsid w:val="006A0B56"/>
    <w:rsid w:val="006A0CF0"/>
    <w:rsid w:val="006A1CF5"/>
    <w:rsid w:val="006A2162"/>
    <w:rsid w:val="006A2302"/>
    <w:rsid w:val="006A2795"/>
    <w:rsid w:val="006A2A38"/>
    <w:rsid w:val="006A39AC"/>
    <w:rsid w:val="006A546B"/>
    <w:rsid w:val="006A6025"/>
    <w:rsid w:val="006A75F0"/>
    <w:rsid w:val="006B0314"/>
    <w:rsid w:val="006B295F"/>
    <w:rsid w:val="006B35E1"/>
    <w:rsid w:val="006B3766"/>
    <w:rsid w:val="006B3E31"/>
    <w:rsid w:val="006B68F2"/>
    <w:rsid w:val="006C0522"/>
    <w:rsid w:val="006C0B26"/>
    <w:rsid w:val="006C1F3E"/>
    <w:rsid w:val="006C2139"/>
    <w:rsid w:val="006C359A"/>
    <w:rsid w:val="006C35E9"/>
    <w:rsid w:val="006C37E3"/>
    <w:rsid w:val="006C411C"/>
    <w:rsid w:val="006C6B40"/>
    <w:rsid w:val="006C6CD9"/>
    <w:rsid w:val="006C6F32"/>
    <w:rsid w:val="006D0B30"/>
    <w:rsid w:val="006D11A0"/>
    <w:rsid w:val="006D3378"/>
    <w:rsid w:val="006D3FA6"/>
    <w:rsid w:val="006D5360"/>
    <w:rsid w:val="006D602F"/>
    <w:rsid w:val="006D6EE6"/>
    <w:rsid w:val="006E05DE"/>
    <w:rsid w:val="006E0B52"/>
    <w:rsid w:val="006E0EDF"/>
    <w:rsid w:val="006E15C1"/>
    <w:rsid w:val="006E3BDC"/>
    <w:rsid w:val="006E5503"/>
    <w:rsid w:val="006E7F01"/>
    <w:rsid w:val="006F0387"/>
    <w:rsid w:val="006F0A4E"/>
    <w:rsid w:val="006F10B7"/>
    <w:rsid w:val="006F226B"/>
    <w:rsid w:val="006F40EC"/>
    <w:rsid w:val="006F5338"/>
    <w:rsid w:val="006F68AB"/>
    <w:rsid w:val="006F7043"/>
    <w:rsid w:val="006F77B4"/>
    <w:rsid w:val="006F78C0"/>
    <w:rsid w:val="006F7AFB"/>
    <w:rsid w:val="00701CDD"/>
    <w:rsid w:val="0070200E"/>
    <w:rsid w:val="00702E16"/>
    <w:rsid w:val="0070523C"/>
    <w:rsid w:val="00706785"/>
    <w:rsid w:val="007075F9"/>
    <w:rsid w:val="00712FDD"/>
    <w:rsid w:val="00715F43"/>
    <w:rsid w:val="00717D36"/>
    <w:rsid w:val="0072073B"/>
    <w:rsid w:val="00720B01"/>
    <w:rsid w:val="007219D1"/>
    <w:rsid w:val="00721B05"/>
    <w:rsid w:val="00723B98"/>
    <w:rsid w:val="00724490"/>
    <w:rsid w:val="00724B88"/>
    <w:rsid w:val="00724E9E"/>
    <w:rsid w:val="007267AD"/>
    <w:rsid w:val="0072697D"/>
    <w:rsid w:val="00727B35"/>
    <w:rsid w:val="00727E40"/>
    <w:rsid w:val="00730D1C"/>
    <w:rsid w:val="00730F6B"/>
    <w:rsid w:val="007318C5"/>
    <w:rsid w:val="00731991"/>
    <w:rsid w:val="007325DC"/>
    <w:rsid w:val="00733D9B"/>
    <w:rsid w:val="0073426D"/>
    <w:rsid w:val="00734EC9"/>
    <w:rsid w:val="007378BB"/>
    <w:rsid w:val="00740339"/>
    <w:rsid w:val="00740371"/>
    <w:rsid w:val="007407CF"/>
    <w:rsid w:val="00740D73"/>
    <w:rsid w:val="00741C7E"/>
    <w:rsid w:val="00742253"/>
    <w:rsid w:val="0074231F"/>
    <w:rsid w:val="00742587"/>
    <w:rsid w:val="00743599"/>
    <w:rsid w:val="00744E7E"/>
    <w:rsid w:val="0074512A"/>
    <w:rsid w:val="007451D8"/>
    <w:rsid w:val="007456EE"/>
    <w:rsid w:val="00745CEE"/>
    <w:rsid w:val="00745E89"/>
    <w:rsid w:val="007463C4"/>
    <w:rsid w:val="0074712C"/>
    <w:rsid w:val="00747B2E"/>
    <w:rsid w:val="0075068E"/>
    <w:rsid w:val="00751CB4"/>
    <w:rsid w:val="007526CF"/>
    <w:rsid w:val="007528FB"/>
    <w:rsid w:val="00752A7D"/>
    <w:rsid w:val="00752D26"/>
    <w:rsid w:val="00752FC8"/>
    <w:rsid w:val="007546C8"/>
    <w:rsid w:val="00755B36"/>
    <w:rsid w:val="007561D1"/>
    <w:rsid w:val="0075634D"/>
    <w:rsid w:val="00757C76"/>
    <w:rsid w:val="0076377D"/>
    <w:rsid w:val="007637AB"/>
    <w:rsid w:val="0076383E"/>
    <w:rsid w:val="00763A54"/>
    <w:rsid w:val="007643FF"/>
    <w:rsid w:val="0076537A"/>
    <w:rsid w:val="00765462"/>
    <w:rsid w:val="007654A4"/>
    <w:rsid w:val="00765D92"/>
    <w:rsid w:val="00766107"/>
    <w:rsid w:val="007666B2"/>
    <w:rsid w:val="00766785"/>
    <w:rsid w:val="007679A7"/>
    <w:rsid w:val="007718E3"/>
    <w:rsid w:val="007729DD"/>
    <w:rsid w:val="00773803"/>
    <w:rsid w:val="00774458"/>
    <w:rsid w:val="0077540C"/>
    <w:rsid w:val="00776208"/>
    <w:rsid w:val="00776483"/>
    <w:rsid w:val="00776590"/>
    <w:rsid w:val="00776D54"/>
    <w:rsid w:val="00780078"/>
    <w:rsid w:val="00780213"/>
    <w:rsid w:val="0078075D"/>
    <w:rsid w:val="007814A4"/>
    <w:rsid w:val="00783465"/>
    <w:rsid w:val="0078375C"/>
    <w:rsid w:val="00783B5B"/>
    <w:rsid w:val="00783D84"/>
    <w:rsid w:val="007849D5"/>
    <w:rsid w:val="00785745"/>
    <w:rsid w:val="00785CD7"/>
    <w:rsid w:val="00786B1A"/>
    <w:rsid w:val="0079059A"/>
    <w:rsid w:val="007912DA"/>
    <w:rsid w:val="00794271"/>
    <w:rsid w:val="00794D54"/>
    <w:rsid w:val="0079600B"/>
    <w:rsid w:val="00796A85"/>
    <w:rsid w:val="0079774B"/>
    <w:rsid w:val="007A0CA4"/>
    <w:rsid w:val="007A1362"/>
    <w:rsid w:val="007A26DB"/>
    <w:rsid w:val="007A283C"/>
    <w:rsid w:val="007A2BEA"/>
    <w:rsid w:val="007A3079"/>
    <w:rsid w:val="007A4352"/>
    <w:rsid w:val="007A44F2"/>
    <w:rsid w:val="007A5050"/>
    <w:rsid w:val="007A6287"/>
    <w:rsid w:val="007B13C2"/>
    <w:rsid w:val="007B364D"/>
    <w:rsid w:val="007B49A2"/>
    <w:rsid w:val="007B4A4F"/>
    <w:rsid w:val="007B5269"/>
    <w:rsid w:val="007B7E11"/>
    <w:rsid w:val="007C03C0"/>
    <w:rsid w:val="007C0B1D"/>
    <w:rsid w:val="007C0C58"/>
    <w:rsid w:val="007C0D90"/>
    <w:rsid w:val="007C2AC3"/>
    <w:rsid w:val="007C37DB"/>
    <w:rsid w:val="007C4799"/>
    <w:rsid w:val="007C512C"/>
    <w:rsid w:val="007C62C2"/>
    <w:rsid w:val="007D23C0"/>
    <w:rsid w:val="007D24ED"/>
    <w:rsid w:val="007D289C"/>
    <w:rsid w:val="007D5AE2"/>
    <w:rsid w:val="007D7EAB"/>
    <w:rsid w:val="007D7F9A"/>
    <w:rsid w:val="007E062C"/>
    <w:rsid w:val="007E2471"/>
    <w:rsid w:val="007E24E2"/>
    <w:rsid w:val="007E38E3"/>
    <w:rsid w:val="007E3AAD"/>
    <w:rsid w:val="007E42D8"/>
    <w:rsid w:val="007E43D3"/>
    <w:rsid w:val="007E4751"/>
    <w:rsid w:val="007E4D24"/>
    <w:rsid w:val="007E5DF7"/>
    <w:rsid w:val="007E6BEA"/>
    <w:rsid w:val="007E779E"/>
    <w:rsid w:val="007F193E"/>
    <w:rsid w:val="007F2C3E"/>
    <w:rsid w:val="007F30A7"/>
    <w:rsid w:val="007F365B"/>
    <w:rsid w:val="007F3CD1"/>
    <w:rsid w:val="007F4ADC"/>
    <w:rsid w:val="007F4B04"/>
    <w:rsid w:val="007F4D44"/>
    <w:rsid w:val="00801C89"/>
    <w:rsid w:val="0080237B"/>
    <w:rsid w:val="008025F9"/>
    <w:rsid w:val="00802D8C"/>
    <w:rsid w:val="00803E92"/>
    <w:rsid w:val="008041D2"/>
    <w:rsid w:val="0080480E"/>
    <w:rsid w:val="008072FF"/>
    <w:rsid w:val="00811225"/>
    <w:rsid w:val="008119D1"/>
    <w:rsid w:val="008149A6"/>
    <w:rsid w:val="00814AF9"/>
    <w:rsid w:val="00814CC1"/>
    <w:rsid w:val="00815AB8"/>
    <w:rsid w:val="0081622D"/>
    <w:rsid w:val="00817246"/>
    <w:rsid w:val="00817706"/>
    <w:rsid w:val="00820D79"/>
    <w:rsid w:val="00820E72"/>
    <w:rsid w:val="00821DC9"/>
    <w:rsid w:val="00822693"/>
    <w:rsid w:val="00826888"/>
    <w:rsid w:val="00827515"/>
    <w:rsid w:val="008277FE"/>
    <w:rsid w:val="008302EE"/>
    <w:rsid w:val="008306F5"/>
    <w:rsid w:val="008307E3"/>
    <w:rsid w:val="0083241A"/>
    <w:rsid w:val="0083316E"/>
    <w:rsid w:val="0083349A"/>
    <w:rsid w:val="008338F1"/>
    <w:rsid w:val="00834DA5"/>
    <w:rsid w:val="00835336"/>
    <w:rsid w:val="00835483"/>
    <w:rsid w:val="00835B00"/>
    <w:rsid w:val="00835E62"/>
    <w:rsid w:val="008361B0"/>
    <w:rsid w:val="00836231"/>
    <w:rsid w:val="00836A92"/>
    <w:rsid w:val="00841B41"/>
    <w:rsid w:val="00842824"/>
    <w:rsid w:val="00845A06"/>
    <w:rsid w:val="00846B4A"/>
    <w:rsid w:val="008508B3"/>
    <w:rsid w:val="00850982"/>
    <w:rsid w:val="0085158B"/>
    <w:rsid w:val="00851EFE"/>
    <w:rsid w:val="008526C6"/>
    <w:rsid w:val="00853E89"/>
    <w:rsid w:val="00855A8E"/>
    <w:rsid w:val="00856722"/>
    <w:rsid w:val="00856B7E"/>
    <w:rsid w:val="0085721E"/>
    <w:rsid w:val="00860036"/>
    <w:rsid w:val="0086073A"/>
    <w:rsid w:val="00861792"/>
    <w:rsid w:val="00861A35"/>
    <w:rsid w:val="00863DD2"/>
    <w:rsid w:val="008642AB"/>
    <w:rsid w:val="008654F3"/>
    <w:rsid w:val="00865854"/>
    <w:rsid w:val="00865A22"/>
    <w:rsid w:val="00867369"/>
    <w:rsid w:val="00867386"/>
    <w:rsid w:val="00867EDC"/>
    <w:rsid w:val="00870496"/>
    <w:rsid w:val="00870B8A"/>
    <w:rsid w:val="0087228D"/>
    <w:rsid w:val="00872CC4"/>
    <w:rsid w:val="00873877"/>
    <w:rsid w:val="00874272"/>
    <w:rsid w:val="00876A4C"/>
    <w:rsid w:val="00880953"/>
    <w:rsid w:val="008833F9"/>
    <w:rsid w:val="008854ED"/>
    <w:rsid w:val="00886459"/>
    <w:rsid w:val="0088673E"/>
    <w:rsid w:val="00887F51"/>
    <w:rsid w:val="00890AF8"/>
    <w:rsid w:val="008911C3"/>
    <w:rsid w:val="00893AD9"/>
    <w:rsid w:val="008959B1"/>
    <w:rsid w:val="00895A12"/>
    <w:rsid w:val="0089716F"/>
    <w:rsid w:val="008976B4"/>
    <w:rsid w:val="008A158C"/>
    <w:rsid w:val="008A26C4"/>
    <w:rsid w:val="008A3FE4"/>
    <w:rsid w:val="008A3FE9"/>
    <w:rsid w:val="008A532B"/>
    <w:rsid w:val="008A5A04"/>
    <w:rsid w:val="008B04EE"/>
    <w:rsid w:val="008B0995"/>
    <w:rsid w:val="008B1179"/>
    <w:rsid w:val="008B2019"/>
    <w:rsid w:val="008B3671"/>
    <w:rsid w:val="008B5615"/>
    <w:rsid w:val="008B5FA8"/>
    <w:rsid w:val="008B7456"/>
    <w:rsid w:val="008B7F54"/>
    <w:rsid w:val="008C02B4"/>
    <w:rsid w:val="008C154A"/>
    <w:rsid w:val="008C2C13"/>
    <w:rsid w:val="008C470B"/>
    <w:rsid w:val="008C570F"/>
    <w:rsid w:val="008C68E1"/>
    <w:rsid w:val="008C6E8B"/>
    <w:rsid w:val="008D0219"/>
    <w:rsid w:val="008D1F07"/>
    <w:rsid w:val="008D3065"/>
    <w:rsid w:val="008D3C21"/>
    <w:rsid w:val="008D5960"/>
    <w:rsid w:val="008D6310"/>
    <w:rsid w:val="008D667C"/>
    <w:rsid w:val="008D6FBD"/>
    <w:rsid w:val="008D75DA"/>
    <w:rsid w:val="008D7AE1"/>
    <w:rsid w:val="008E3E80"/>
    <w:rsid w:val="008E4AE6"/>
    <w:rsid w:val="008E5EFF"/>
    <w:rsid w:val="008E65E0"/>
    <w:rsid w:val="008E709E"/>
    <w:rsid w:val="008E7E29"/>
    <w:rsid w:val="008E7E60"/>
    <w:rsid w:val="008E7FAA"/>
    <w:rsid w:val="008F0764"/>
    <w:rsid w:val="008F07F1"/>
    <w:rsid w:val="008F1355"/>
    <w:rsid w:val="008F1513"/>
    <w:rsid w:val="008F1E99"/>
    <w:rsid w:val="008F268F"/>
    <w:rsid w:val="008F4F0A"/>
    <w:rsid w:val="008F5501"/>
    <w:rsid w:val="008F74E2"/>
    <w:rsid w:val="009010FC"/>
    <w:rsid w:val="009015DB"/>
    <w:rsid w:val="0090193C"/>
    <w:rsid w:val="00902F27"/>
    <w:rsid w:val="0090526C"/>
    <w:rsid w:val="0090654A"/>
    <w:rsid w:val="00913057"/>
    <w:rsid w:val="00913556"/>
    <w:rsid w:val="00913647"/>
    <w:rsid w:val="00913B02"/>
    <w:rsid w:val="009149E4"/>
    <w:rsid w:val="00914B12"/>
    <w:rsid w:val="00916A38"/>
    <w:rsid w:val="009179B2"/>
    <w:rsid w:val="00920450"/>
    <w:rsid w:val="009214AC"/>
    <w:rsid w:val="0092185E"/>
    <w:rsid w:val="009229BA"/>
    <w:rsid w:val="00923F44"/>
    <w:rsid w:val="0092449B"/>
    <w:rsid w:val="00924FC1"/>
    <w:rsid w:val="009260A9"/>
    <w:rsid w:val="00930A63"/>
    <w:rsid w:val="00930D8D"/>
    <w:rsid w:val="0093142E"/>
    <w:rsid w:val="0093176E"/>
    <w:rsid w:val="00931B73"/>
    <w:rsid w:val="00931D96"/>
    <w:rsid w:val="00932832"/>
    <w:rsid w:val="00933959"/>
    <w:rsid w:val="009339CC"/>
    <w:rsid w:val="00933ACD"/>
    <w:rsid w:val="00934506"/>
    <w:rsid w:val="00934577"/>
    <w:rsid w:val="00934691"/>
    <w:rsid w:val="0093561F"/>
    <w:rsid w:val="0093581C"/>
    <w:rsid w:val="00936512"/>
    <w:rsid w:val="00936C0B"/>
    <w:rsid w:val="00940351"/>
    <w:rsid w:val="00940741"/>
    <w:rsid w:val="009409CF"/>
    <w:rsid w:val="00941C05"/>
    <w:rsid w:val="0094281F"/>
    <w:rsid w:val="0094557F"/>
    <w:rsid w:val="00945C33"/>
    <w:rsid w:val="00945F05"/>
    <w:rsid w:val="00946077"/>
    <w:rsid w:val="009461C2"/>
    <w:rsid w:val="009508FB"/>
    <w:rsid w:val="00951185"/>
    <w:rsid w:val="0095118A"/>
    <w:rsid w:val="00951213"/>
    <w:rsid w:val="009526BE"/>
    <w:rsid w:val="00953EDF"/>
    <w:rsid w:val="00954064"/>
    <w:rsid w:val="0095444C"/>
    <w:rsid w:val="0095580B"/>
    <w:rsid w:val="00955985"/>
    <w:rsid w:val="0095612C"/>
    <w:rsid w:val="0095740E"/>
    <w:rsid w:val="009575C3"/>
    <w:rsid w:val="00960801"/>
    <w:rsid w:val="00960CFF"/>
    <w:rsid w:val="00962233"/>
    <w:rsid w:val="00962B45"/>
    <w:rsid w:val="00962C65"/>
    <w:rsid w:val="009633A4"/>
    <w:rsid w:val="009639B6"/>
    <w:rsid w:val="00963F88"/>
    <w:rsid w:val="00970969"/>
    <w:rsid w:val="00971D9C"/>
    <w:rsid w:val="00972DE5"/>
    <w:rsid w:val="00974D02"/>
    <w:rsid w:val="009773F1"/>
    <w:rsid w:val="0097778E"/>
    <w:rsid w:val="00977AA3"/>
    <w:rsid w:val="00977CC9"/>
    <w:rsid w:val="00980F35"/>
    <w:rsid w:val="0098114F"/>
    <w:rsid w:val="0098191B"/>
    <w:rsid w:val="009820B4"/>
    <w:rsid w:val="009839F3"/>
    <w:rsid w:val="00983A48"/>
    <w:rsid w:val="00984214"/>
    <w:rsid w:val="00987219"/>
    <w:rsid w:val="0098731D"/>
    <w:rsid w:val="00990E8A"/>
    <w:rsid w:val="00991044"/>
    <w:rsid w:val="00992A91"/>
    <w:rsid w:val="00992C30"/>
    <w:rsid w:val="0099560B"/>
    <w:rsid w:val="00995972"/>
    <w:rsid w:val="00996118"/>
    <w:rsid w:val="00996D2C"/>
    <w:rsid w:val="00996E99"/>
    <w:rsid w:val="00996F8F"/>
    <w:rsid w:val="009A00CC"/>
    <w:rsid w:val="009A027C"/>
    <w:rsid w:val="009A4079"/>
    <w:rsid w:val="009A4693"/>
    <w:rsid w:val="009A4D2A"/>
    <w:rsid w:val="009A4D81"/>
    <w:rsid w:val="009A6A4A"/>
    <w:rsid w:val="009A6C58"/>
    <w:rsid w:val="009A716F"/>
    <w:rsid w:val="009A7A8E"/>
    <w:rsid w:val="009B145C"/>
    <w:rsid w:val="009B1904"/>
    <w:rsid w:val="009B2B1D"/>
    <w:rsid w:val="009B30BC"/>
    <w:rsid w:val="009B35B6"/>
    <w:rsid w:val="009B4B59"/>
    <w:rsid w:val="009B5A27"/>
    <w:rsid w:val="009B6C04"/>
    <w:rsid w:val="009B6FE5"/>
    <w:rsid w:val="009B71AB"/>
    <w:rsid w:val="009C145F"/>
    <w:rsid w:val="009C1526"/>
    <w:rsid w:val="009C1AA5"/>
    <w:rsid w:val="009C1C07"/>
    <w:rsid w:val="009C277F"/>
    <w:rsid w:val="009C2E07"/>
    <w:rsid w:val="009C341F"/>
    <w:rsid w:val="009C4379"/>
    <w:rsid w:val="009C73AB"/>
    <w:rsid w:val="009C76ED"/>
    <w:rsid w:val="009D00D1"/>
    <w:rsid w:val="009D0523"/>
    <w:rsid w:val="009D1887"/>
    <w:rsid w:val="009D2BFF"/>
    <w:rsid w:val="009D2C01"/>
    <w:rsid w:val="009D3EE6"/>
    <w:rsid w:val="009D56C4"/>
    <w:rsid w:val="009D5B45"/>
    <w:rsid w:val="009D6689"/>
    <w:rsid w:val="009D745B"/>
    <w:rsid w:val="009E164F"/>
    <w:rsid w:val="009E3811"/>
    <w:rsid w:val="009E4979"/>
    <w:rsid w:val="009E4BDB"/>
    <w:rsid w:val="009E5060"/>
    <w:rsid w:val="009E67D7"/>
    <w:rsid w:val="009E7243"/>
    <w:rsid w:val="009F37AD"/>
    <w:rsid w:val="009F3A3B"/>
    <w:rsid w:val="009F4455"/>
    <w:rsid w:val="009F47AC"/>
    <w:rsid w:val="009F4B30"/>
    <w:rsid w:val="009F4F68"/>
    <w:rsid w:val="009F5662"/>
    <w:rsid w:val="009F5F39"/>
    <w:rsid w:val="009F6BD2"/>
    <w:rsid w:val="009F78CD"/>
    <w:rsid w:val="009F795C"/>
    <w:rsid w:val="00A01159"/>
    <w:rsid w:val="00A0309A"/>
    <w:rsid w:val="00A03691"/>
    <w:rsid w:val="00A04A90"/>
    <w:rsid w:val="00A064BD"/>
    <w:rsid w:val="00A12018"/>
    <w:rsid w:val="00A12698"/>
    <w:rsid w:val="00A13731"/>
    <w:rsid w:val="00A145E8"/>
    <w:rsid w:val="00A14741"/>
    <w:rsid w:val="00A14A8D"/>
    <w:rsid w:val="00A16687"/>
    <w:rsid w:val="00A1777D"/>
    <w:rsid w:val="00A20F99"/>
    <w:rsid w:val="00A24BEC"/>
    <w:rsid w:val="00A25708"/>
    <w:rsid w:val="00A25EEA"/>
    <w:rsid w:val="00A272B3"/>
    <w:rsid w:val="00A27D9E"/>
    <w:rsid w:val="00A30DCC"/>
    <w:rsid w:val="00A3264D"/>
    <w:rsid w:val="00A33246"/>
    <w:rsid w:val="00A33330"/>
    <w:rsid w:val="00A3513C"/>
    <w:rsid w:val="00A35A2A"/>
    <w:rsid w:val="00A37808"/>
    <w:rsid w:val="00A406BE"/>
    <w:rsid w:val="00A419D3"/>
    <w:rsid w:val="00A41C98"/>
    <w:rsid w:val="00A42EF2"/>
    <w:rsid w:val="00A43BDF"/>
    <w:rsid w:val="00A4512B"/>
    <w:rsid w:val="00A4552F"/>
    <w:rsid w:val="00A469F9"/>
    <w:rsid w:val="00A46A66"/>
    <w:rsid w:val="00A46D90"/>
    <w:rsid w:val="00A50C69"/>
    <w:rsid w:val="00A51D4C"/>
    <w:rsid w:val="00A53886"/>
    <w:rsid w:val="00A538FF"/>
    <w:rsid w:val="00A551D3"/>
    <w:rsid w:val="00A562E7"/>
    <w:rsid w:val="00A5734F"/>
    <w:rsid w:val="00A61123"/>
    <w:rsid w:val="00A619E3"/>
    <w:rsid w:val="00A61B5A"/>
    <w:rsid w:val="00A62CB7"/>
    <w:rsid w:val="00A64051"/>
    <w:rsid w:val="00A64FC3"/>
    <w:rsid w:val="00A667D0"/>
    <w:rsid w:val="00A70060"/>
    <w:rsid w:val="00A70A29"/>
    <w:rsid w:val="00A7273D"/>
    <w:rsid w:val="00A73B70"/>
    <w:rsid w:val="00A7466B"/>
    <w:rsid w:val="00A76987"/>
    <w:rsid w:val="00A776ED"/>
    <w:rsid w:val="00A77B2F"/>
    <w:rsid w:val="00A80DAF"/>
    <w:rsid w:val="00A81BE0"/>
    <w:rsid w:val="00A83A05"/>
    <w:rsid w:val="00A845E0"/>
    <w:rsid w:val="00A86391"/>
    <w:rsid w:val="00A863ED"/>
    <w:rsid w:val="00A92F66"/>
    <w:rsid w:val="00A942B3"/>
    <w:rsid w:val="00A94713"/>
    <w:rsid w:val="00A948DE"/>
    <w:rsid w:val="00A94ADA"/>
    <w:rsid w:val="00A951BD"/>
    <w:rsid w:val="00A96E5D"/>
    <w:rsid w:val="00AA04EA"/>
    <w:rsid w:val="00AA174F"/>
    <w:rsid w:val="00AA21A8"/>
    <w:rsid w:val="00AA25BC"/>
    <w:rsid w:val="00AA522A"/>
    <w:rsid w:val="00AA593A"/>
    <w:rsid w:val="00AA6710"/>
    <w:rsid w:val="00AA6B42"/>
    <w:rsid w:val="00AB1661"/>
    <w:rsid w:val="00AB1A6D"/>
    <w:rsid w:val="00AB3429"/>
    <w:rsid w:val="00AB3A97"/>
    <w:rsid w:val="00AB50CF"/>
    <w:rsid w:val="00AB69B3"/>
    <w:rsid w:val="00AB6CB2"/>
    <w:rsid w:val="00AB734A"/>
    <w:rsid w:val="00AB7DB9"/>
    <w:rsid w:val="00AC0545"/>
    <w:rsid w:val="00AC19A4"/>
    <w:rsid w:val="00AC2384"/>
    <w:rsid w:val="00AC2DBC"/>
    <w:rsid w:val="00AC3731"/>
    <w:rsid w:val="00AC3CBB"/>
    <w:rsid w:val="00AC7F47"/>
    <w:rsid w:val="00AD07C2"/>
    <w:rsid w:val="00AD28CB"/>
    <w:rsid w:val="00AD2B0B"/>
    <w:rsid w:val="00AD2DD2"/>
    <w:rsid w:val="00AD2F11"/>
    <w:rsid w:val="00AD3730"/>
    <w:rsid w:val="00AD43EE"/>
    <w:rsid w:val="00AD5383"/>
    <w:rsid w:val="00AD5889"/>
    <w:rsid w:val="00AD65CF"/>
    <w:rsid w:val="00AE0023"/>
    <w:rsid w:val="00AE3485"/>
    <w:rsid w:val="00AE3ABE"/>
    <w:rsid w:val="00AE55BD"/>
    <w:rsid w:val="00AE5CF3"/>
    <w:rsid w:val="00AE61EF"/>
    <w:rsid w:val="00AE6742"/>
    <w:rsid w:val="00AE6857"/>
    <w:rsid w:val="00AE6DD3"/>
    <w:rsid w:val="00AE751F"/>
    <w:rsid w:val="00AF081B"/>
    <w:rsid w:val="00AF10F2"/>
    <w:rsid w:val="00AF1AB0"/>
    <w:rsid w:val="00AF232E"/>
    <w:rsid w:val="00AF3651"/>
    <w:rsid w:val="00AF37E2"/>
    <w:rsid w:val="00AF494C"/>
    <w:rsid w:val="00AF4ACB"/>
    <w:rsid w:val="00AF562A"/>
    <w:rsid w:val="00AF7C81"/>
    <w:rsid w:val="00B004D6"/>
    <w:rsid w:val="00B00AE9"/>
    <w:rsid w:val="00B00DF1"/>
    <w:rsid w:val="00B00EA8"/>
    <w:rsid w:val="00B0394B"/>
    <w:rsid w:val="00B03A7F"/>
    <w:rsid w:val="00B05846"/>
    <w:rsid w:val="00B05D73"/>
    <w:rsid w:val="00B071CB"/>
    <w:rsid w:val="00B14759"/>
    <w:rsid w:val="00B1619B"/>
    <w:rsid w:val="00B16E16"/>
    <w:rsid w:val="00B1729A"/>
    <w:rsid w:val="00B17696"/>
    <w:rsid w:val="00B20C92"/>
    <w:rsid w:val="00B21DC5"/>
    <w:rsid w:val="00B223BF"/>
    <w:rsid w:val="00B23E8F"/>
    <w:rsid w:val="00B23E9C"/>
    <w:rsid w:val="00B244F2"/>
    <w:rsid w:val="00B24F20"/>
    <w:rsid w:val="00B25050"/>
    <w:rsid w:val="00B254A2"/>
    <w:rsid w:val="00B25AE4"/>
    <w:rsid w:val="00B26188"/>
    <w:rsid w:val="00B3039B"/>
    <w:rsid w:val="00B31C53"/>
    <w:rsid w:val="00B328A1"/>
    <w:rsid w:val="00B34E38"/>
    <w:rsid w:val="00B35AF5"/>
    <w:rsid w:val="00B36814"/>
    <w:rsid w:val="00B37274"/>
    <w:rsid w:val="00B40853"/>
    <w:rsid w:val="00B4229D"/>
    <w:rsid w:val="00B4249C"/>
    <w:rsid w:val="00B44985"/>
    <w:rsid w:val="00B469C1"/>
    <w:rsid w:val="00B502FA"/>
    <w:rsid w:val="00B50654"/>
    <w:rsid w:val="00B516E2"/>
    <w:rsid w:val="00B51F9E"/>
    <w:rsid w:val="00B53161"/>
    <w:rsid w:val="00B533C3"/>
    <w:rsid w:val="00B56001"/>
    <w:rsid w:val="00B576AF"/>
    <w:rsid w:val="00B6057F"/>
    <w:rsid w:val="00B60DD3"/>
    <w:rsid w:val="00B631D0"/>
    <w:rsid w:val="00B63562"/>
    <w:rsid w:val="00B648D4"/>
    <w:rsid w:val="00B64C40"/>
    <w:rsid w:val="00B65810"/>
    <w:rsid w:val="00B671F4"/>
    <w:rsid w:val="00B704B8"/>
    <w:rsid w:val="00B70C8D"/>
    <w:rsid w:val="00B70FD6"/>
    <w:rsid w:val="00B71C4C"/>
    <w:rsid w:val="00B71D07"/>
    <w:rsid w:val="00B720AD"/>
    <w:rsid w:val="00B73593"/>
    <w:rsid w:val="00B73E60"/>
    <w:rsid w:val="00B73FA7"/>
    <w:rsid w:val="00B75D49"/>
    <w:rsid w:val="00B76622"/>
    <w:rsid w:val="00B810C6"/>
    <w:rsid w:val="00B8342C"/>
    <w:rsid w:val="00B83568"/>
    <w:rsid w:val="00B835C5"/>
    <w:rsid w:val="00B8373D"/>
    <w:rsid w:val="00B840AF"/>
    <w:rsid w:val="00B8593D"/>
    <w:rsid w:val="00B85E45"/>
    <w:rsid w:val="00B872CD"/>
    <w:rsid w:val="00B875CD"/>
    <w:rsid w:val="00B87DC8"/>
    <w:rsid w:val="00B90451"/>
    <w:rsid w:val="00B90B6D"/>
    <w:rsid w:val="00B90B74"/>
    <w:rsid w:val="00B911A3"/>
    <w:rsid w:val="00B91AF5"/>
    <w:rsid w:val="00B91EF9"/>
    <w:rsid w:val="00B92893"/>
    <w:rsid w:val="00B933FF"/>
    <w:rsid w:val="00B94DA3"/>
    <w:rsid w:val="00B95877"/>
    <w:rsid w:val="00BA15C5"/>
    <w:rsid w:val="00BA2A36"/>
    <w:rsid w:val="00BA378A"/>
    <w:rsid w:val="00BA3B96"/>
    <w:rsid w:val="00BA3DB8"/>
    <w:rsid w:val="00BA5F93"/>
    <w:rsid w:val="00BA65A5"/>
    <w:rsid w:val="00BA6B14"/>
    <w:rsid w:val="00BA6B50"/>
    <w:rsid w:val="00BB20B4"/>
    <w:rsid w:val="00BB4643"/>
    <w:rsid w:val="00BB52CF"/>
    <w:rsid w:val="00BB536A"/>
    <w:rsid w:val="00BB70F7"/>
    <w:rsid w:val="00BB747F"/>
    <w:rsid w:val="00BB77C1"/>
    <w:rsid w:val="00BC0FDB"/>
    <w:rsid w:val="00BC1C3B"/>
    <w:rsid w:val="00BC37EC"/>
    <w:rsid w:val="00BC419B"/>
    <w:rsid w:val="00BC488C"/>
    <w:rsid w:val="00BC4945"/>
    <w:rsid w:val="00BC4B7F"/>
    <w:rsid w:val="00BC6EEE"/>
    <w:rsid w:val="00BC6F44"/>
    <w:rsid w:val="00BC7194"/>
    <w:rsid w:val="00BD134C"/>
    <w:rsid w:val="00BD173D"/>
    <w:rsid w:val="00BD21B1"/>
    <w:rsid w:val="00BD27B2"/>
    <w:rsid w:val="00BD28C0"/>
    <w:rsid w:val="00BD4923"/>
    <w:rsid w:val="00BD51BE"/>
    <w:rsid w:val="00BD5EF0"/>
    <w:rsid w:val="00BE023D"/>
    <w:rsid w:val="00BE0240"/>
    <w:rsid w:val="00BE1C59"/>
    <w:rsid w:val="00BE487D"/>
    <w:rsid w:val="00BE4E13"/>
    <w:rsid w:val="00BE5903"/>
    <w:rsid w:val="00BE6CC9"/>
    <w:rsid w:val="00BE6FB5"/>
    <w:rsid w:val="00BF032E"/>
    <w:rsid w:val="00BF0F55"/>
    <w:rsid w:val="00BF1BFF"/>
    <w:rsid w:val="00BF3D21"/>
    <w:rsid w:val="00BF49C0"/>
    <w:rsid w:val="00BF4ADC"/>
    <w:rsid w:val="00BF524A"/>
    <w:rsid w:val="00BF5A6F"/>
    <w:rsid w:val="00BF6187"/>
    <w:rsid w:val="00BF62FB"/>
    <w:rsid w:val="00BF6A91"/>
    <w:rsid w:val="00BF6F4F"/>
    <w:rsid w:val="00BF7404"/>
    <w:rsid w:val="00BF7BFB"/>
    <w:rsid w:val="00C0011A"/>
    <w:rsid w:val="00C00E2F"/>
    <w:rsid w:val="00C01EE4"/>
    <w:rsid w:val="00C02545"/>
    <w:rsid w:val="00C0302C"/>
    <w:rsid w:val="00C036F1"/>
    <w:rsid w:val="00C03A95"/>
    <w:rsid w:val="00C109DB"/>
    <w:rsid w:val="00C11F7A"/>
    <w:rsid w:val="00C13C90"/>
    <w:rsid w:val="00C148AE"/>
    <w:rsid w:val="00C1675E"/>
    <w:rsid w:val="00C21A00"/>
    <w:rsid w:val="00C22FB6"/>
    <w:rsid w:val="00C23D8A"/>
    <w:rsid w:val="00C241F6"/>
    <w:rsid w:val="00C242A9"/>
    <w:rsid w:val="00C242FF"/>
    <w:rsid w:val="00C267DA"/>
    <w:rsid w:val="00C26F77"/>
    <w:rsid w:val="00C279AB"/>
    <w:rsid w:val="00C30FFC"/>
    <w:rsid w:val="00C31079"/>
    <w:rsid w:val="00C32362"/>
    <w:rsid w:val="00C327DF"/>
    <w:rsid w:val="00C339C2"/>
    <w:rsid w:val="00C35933"/>
    <w:rsid w:val="00C35EEC"/>
    <w:rsid w:val="00C36C28"/>
    <w:rsid w:val="00C375BF"/>
    <w:rsid w:val="00C378CB"/>
    <w:rsid w:val="00C41CD1"/>
    <w:rsid w:val="00C42AD0"/>
    <w:rsid w:val="00C43348"/>
    <w:rsid w:val="00C43AB5"/>
    <w:rsid w:val="00C443C3"/>
    <w:rsid w:val="00C47D16"/>
    <w:rsid w:val="00C50379"/>
    <w:rsid w:val="00C50BF2"/>
    <w:rsid w:val="00C51DCD"/>
    <w:rsid w:val="00C5295D"/>
    <w:rsid w:val="00C538C0"/>
    <w:rsid w:val="00C56C2D"/>
    <w:rsid w:val="00C57462"/>
    <w:rsid w:val="00C575CA"/>
    <w:rsid w:val="00C57C95"/>
    <w:rsid w:val="00C618A1"/>
    <w:rsid w:val="00C61950"/>
    <w:rsid w:val="00C62463"/>
    <w:rsid w:val="00C62F36"/>
    <w:rsid w:val="00C63B35"/>
    <w:rsid w:val="00C64A1E"/>
    <w:rsid w:val="00C656E5"/>
    <w:rsid w:val="00C706D9"/>
    <w:rsid w:val="00C7091D"/>
    <w:rsid w:val="00C70B02"/>
    <w:rsid w:val="00C7149C"/>
    <w:rsid w:val="00C71F04"/>
    <w:rsid w:val="00C738F6"/>
    <w:rsid w:val="00C7424E"/>
    <w:rsid w:val="00C75246"/>
    <w:rsid w:val="00C7593A"/>
    <w:rsid w:val="00C76C45"/>
    <w:rsid w:val="00C77960"/>
    <w:rsid w:val="00C81D84"/>
    <w:rsid w:val="00C82200"/>
    <w:rsid w:val="00C827FF"/>
    <w:rsid w:val="00C82B30"/>
    <w:rsid w:val="00C8370A"/>
    <w:rsid w:val="00C83B8A"/>
    <w:rsid w:val="00C85796"/>
    <w:rsid w:val="00C867DF"/>
    <w:rsid w:val="00C87AD9"/>
    <w:rsid w:val="00C90B1C"/>
    <w:rsid w:val="00C91BA7"/>
    <w:rsid w:val="00C955E6"/>
    <w:rsid w:val="00C96457"/>
    <w:rsid w:val="00C96771"/>
    <w:rsid w:val="00C97EA5"/>
    <w:rsid w:val="00CA1706"/>
    <w:rsid w:val="00CA1E89"/>
    <w:rsid w:val="00CA2170"/>
    <w:rsid w:val="00CA332D"/>
    <w:rsid w:val="00CA337A"/>
    <w:rsid w:val="00CA39BA"/>
    <w:rsid w:val="00CA4D6A"/>
    <w:rsid w:val="00CA6BE9"/>
    <w:rsid w:val="00CA7FA5"/>
    <w:rsid w:val="00CB008A"/>
    <w:rsid w:val="00CB07ED"/>
    <w:rsid w:val="00CB11BC"/>
    <w:rsid w:val="00CB2D68"/>
    <w:rsid w:val="00CB31B4"/>
    <w:rsid w:val="00CB460A"/>
    <w:rsid w:val="00CB46B3"/>
    <w:rsid w:val="00CB47F6"/>
    <w:rsid w:val="00CB5E75"/>
    <w:rsid w:val="00CB607F"/>
    <w:rsid w:val="00CB6731"/>
    <w:rsid w:val="00CC0C03"/>
    <w:rsid w:val="00CC1B77"/>
    <w:rsid w:val="00CC1F8F"/>
    <w:rsid w:val="00CC332C"/>
    <w:rsid w:val="00CC4816"/>
    <w:rsid w:val="00CC55C2"/>
    <w:rsid w:val="00CC613D"/>
    <w:rsid w:val="00CC720C"/>
    <w:rsid w:val="00CD1349"/>
    <w:rsid w:val="00CD1E26"/>
    <w:rsid w:val="00CD254C"/>
    <w:rsid w:val="00CD50A4"/>
    <w:rsid w:val="00CD5D27"/>
    <w:rsid w:val="00CD78C1"/>
    <w:rsid w:val="00CD7A51"/>
    <w:rsid w:val="00CD7CD4"/>
    <w:rsid w:val="00CD7ED2"/>
    <w:rsid w:val="00CE00D2"/>
    <w:rsid w:val="00CE3305"/>
    <w:rsid w:val="00CE3399"/>
    <w:rsid w:val="00CE344D"/>
    <w:rsid w:val="00CE5F7A"/>
    <w:rsid w:val="00CE6A98"/>
    <w:rsid w:val="00CE6F1E"/>
    <w:rsid w:val="00CE7032"/>
    <w:rsid w:val="00CE7710"/>
    <w:rsid w:val="00CE7909"/>
    <w:rsid w:val="00CF1D06"/>
    <w:rsid w:val="00CF1F73"/>
    <w:rsid w:val="00CF20F0"/>
    <w:rsid w:val="00CF2BFF"/>
    <w:rsid w:val="00CF3E6A"/>
    <w:rsid w:val="00CF56F3"/>
    <w:rsid w:val="00CF5CF6"/>
    <w:rsid w:val="00CF6C12"/>
    <w:rsid w:val="00CF6E8A"/>
    <w:rsid w:val="00CF7640"/>
    <w:rsid w:val="00D0117B"/>
    <w:rsid w:val="00D014FF"/>
    <w:rsid w:val="00D02BCC"/>
    <w:rsid w:val="00D03549"/>
    <w:rsid w:val="00D04AEC"/>
    <w:rsid w:val="00D0546F"/>
    <w:rsid w:val="00D05B2F"/>
    <w:rsid w:val="00D061EB"/>
    <w:rsid w:val="00D06E58"/>
    <w:rsid w:val="00D0742D"/>
    <w:rsid w:val="00D07471"/>
    <w:rsid w:val="00D076D8"/>
    <w:rsid w:val="00D100ED"/>
    <w:rsid w:val="00D1259B"/>
    <w:rsid w:val="00D1454B"/>
    <w:rsid w:val="00D14A67"/>
    <w:rsid w:val="00D15076"/>
    <w:rsid w:val="00D15219"/>
    <w:rsid w:val="00D1767C"/>
    <w:rsid w:val="00D205B3"/>
    <w:rsid w:val="00D21BBC"/>
    <w:rsid w:val="00D22AE6"/>
    <w:rsid w:val="00D22BA6"/>
    <w:rsid w:val="00D23742"/>
    <w:rsid w:val="00D23E63"/>
    <w:rsid w:val="00D2404D"/>
    <w:rsid w:val="00D249AF"/>
    <w:rsid w:val="00D26034"/>
    <w:rsid w:val="00D26A69"/>
    <w:rsid w:val="00D26A8D"/>
    <w:rsid w:val="00D27818"/>
    <w:rsid w:val="00D3087D"/>
    <w:rsid w:val="00D31A83"/>
    <w:rsid w:val="00D34C73"/>
    <w:rsid w:val="00D3524C"/>
    <w:rsid w:val="00D3562D"/>
    <w:rsid w:val="00D362A1"/>
    <w:rsid w:val="00D37B43"/>
    <w:rsid w:val="00D41754"/>
    <w:rsid w:val="00D42380"/>
    <w:rsid w:val="00D4342B"/>
    <w:rsid w:val="00D45223"/>
    <w:rsid w:val="00D45919"/>
    <w:rsid w:val="00D46081"/>
    <w:rsid w:val="00D47F7F"/>
    <w:rsid w:val="00D514BC"/>
    <w:rsid w:val="00D5369F"/>
    <w:rsid w:val="00D55288"/>
    <w:rsid w:val="00D56C7A"/>
    <w:rsid w:val="00D57303"/>
    <w:rsid w:val="00D57A2F"/>
    <w:rsid w:val="00D57A31"/>
    <w:rsid w:val="00D61D8B"/>
    <w:rsid w:val="00D642C6"/>
    <w:rsid w:val="00D6441E"/>
    <w:rsid w:val="00D646C9"/>
    <w:rsid w:val="00D658AB"/>
    <w:rsid w:val="00D67CB2"/>
    <w:rsid w:val="00D71C27"/>
    <w:rsid w:val="00D72C27"/>
    <w:rsid w:val="00D733F6"/>
    <w:rsid w:val="00D73527"/>
    <w:rsid w:val="00D73794"/>
    <w:rsid w:val="00D743A3"/>
    <w:rsid w:val="00D74AC4"/>
    <w:rsid w:val="00D752C7"/>
    <w:rsid w:val="00D754F8"/>
    <w:rsid w:val="00D76714"/>
    <w:rsid w:val="00D76EAD"/>
    <w:rsid w:val="00D7790F"/>
    <w:rsid w:val="00D77C7C"/>
    <w:rsid w:val="00D77F98"/>
    <w:rsid w:val="00D80895"/>
    <w:rsid w:val="00D814A2"/>
    <w:rsid w:val="00D82B81"/>
    <w:rsid w:val="00D839A2"/>
    <w:rsid w:val="00D853A6"/>
    <w:rsid w:val="00D85B53"/>
    <w:rsid w:val="00D86C86"/>
    <w:rsid w:val="00D870C9"/>
    <w:rsid w:val="00D876E3"/>
    <w:rsid w:val="00D87E69"/>
    <w:rsid w:val="00D90669"/>
    <w:rsid w:val="00D91DC3"/>
    <w:rsid w:val="00D925DA"/>
    <w:rsid w:val="00D92769"/>
    <w:rsid w:val="00D94880"/>
    <w:rsid w:val="00D96E37"/>
    <w:rsid w:val="00DA1EA9"/>
    <w:rsid w:val="00DA347E"/>
    <w:rsid w:val="00DA35F8"/>
    <w:rsid w:val="00DA3698"/>
    <w:rsid w:val="00DA4856"/>
    <w:rsid w:val="00DA537E"/>
    <w:rsid w:val="00DA6619"/>
    <w:rsid w:val="00DA6C40"/>
    <w:rsid w:val="00DB037D"/>
    <w:rsid w:val="00DB3E05"/>
    <w:rsid w:val="00DB440B"/>
    <w:rsid w:val="00DB5E0A"/>
    <w:rsid w:val="00DB6311"/>
    <w:rsid w:val="00DB6688"/>
    <w:rsid w:val="00DB6C4B"/>
    <w:rsid w:val="00DB6CAC"/>
    <w:rsid w:val="00DB7013"/>
    <w:rsid w:val="00DB7018"/>
    <w:rsid w:val="00DB749B"/>
    <w:rsid w:val="00DB758B"/>
    <w:rsid w:val="00DC138E"/>
    <w:rsid w:val="00DC1857"/>
    <w:rsid w:val="00DC1C01"/>
    <w:rsid w:val="00DC3A0E"/>
    <w:rsid w:val="00DC4E07"/>
    <w:rsid w:val="00DC66F7"/>
    <w:rsid w:val="00DC72C2"/>
    <w:rsid w:val="00DD0AE6"/>
    <w:rsid w:val="00DD1100"/>
    <w:rsid w:val="00DD1DF8"/>
    <w:rsid w:val="00DD5E1C"/>
    <w:rsid w:val="00DD6015"/>
    <w:rsid w:val="00DD6170"/>
    <w:rsid w:val="00DE08D9"/>
    <w:rsid w:val="00DE09E6"/>
    <w:rsid w:val="00DE337B"/>
    <w:rsid w:val="00DE4812"/>
    <w:rsid w:val="00DE5DEA"/>
    <w:rsid w:val="00DE7A29"/>
    <w:rsid w:val="00DF23BC"/>
    <w:rsid w:val="00DF271A"/>
    <w:rsid w:val="00DF281D"/>
    <w:rsid w:val="00DF29D9"/>
    <w:rsid w:val="00DF2F8D"/>
    <w:rsid w:val="00DF3F95"/>
    <w:rsid w:val="00DF6AFE"/>
    <w:rsid w:val="00DF7951"/>
    <w:rsid w:val="00E0097E"/>
    <w:rsid w:val="00E03117"/>
    <w:rsid w:val="00E03141"/>
    <w:rsid w:val="00E06A83"/>
    <w:rsid w:val="00E06AD6"/>
    <w:rsid w:val="00E0742B"/>
    <w:rsid w:val="00E106DA"/>
    <w:rsid w:val="00E12D92"/>
    <w:rsid w:val="00E12DB8"/>
    <w:rsid w:val="00E132A9"/>
    <w:rsid w:val="00E147EC"/>
    <w:rsid w:val="00E209F3"/>
    <w:rsid w:val="00E210F9"/>
    <w:rsid w:val="00E217EB"/>
    <w:rsid w:val="00E21A19"/>
    <w:rsid w:val="00E2250F"/>
    <w:rsid w:val="00E22B87"/>
    <w:rsid w:val="00E22DA6"/>
    <w:rsid w:val="00E23B4B"/>
    <w:rsid w:val="00E2464F"/>
    <w:rsid w:val="00E24D3D"/>
    <w:rsid w:val="00E25357"/>
    <w:rsid w:val="00E2613E"/>
    <w:rsid w:val="00E267D6"/>
    <w:rsid w:val="00E269FA"/>
    <w:rsid w:val="00E2752D"/>
    <w:rsid w:val="00E324E6"/>
    <w:rsid w:val="00E32726"/>
    <w:rsid w:val="00E34D35"/>
    <w:rsid w:val="00E34D55"/>
    <w:rsid w:val="00E34F4C"/>
    <w:rsid w:val="00E35431"/>
    <w:rsid w:val="00E36EBE"/>
    <w:rsid w:val="00E3740C"/>
    <w:rsid w:val="00E37854"/>
    <w:rsid w:val="00E37A56"/>
    <w:rsid w:val="00E40961"/>
    <w:rsid w:val="00E42319"/>
    <w:rsid w:val="00E42526"/>
    <w:rsid w:val="00E425DC"/>
    <w:rsid w:val="00E426A4"/>
    <w:rsid w:val="00E42E32"/>
    <w:rsid w:val="00E44A91"/>
    <w:rsid w:val="00E44C70"/>
    <w:rsid w:val="00E47CA5"/>
    <w:rsid w:val="00E47DA9"/>
    <w:rsid w:val="00E55C1B"/>
    <w:rsid w:val="00E56CCC"/>
    <w:rsid w:val="00E56F36"/>
    <w:rsid w:val="00E57011"/>
    <w:rsid w:val="00E57B28"/>
    <w:rsid w:val="00E57F84"/>
    <w:rsid w:val="00E610D4"/>
    <w:rsid w:val="00E64CBA"/>
    <w:rsid w:val="00E65284"/>
    <w:rsid w:val="00E6533B"/>
    <w:rsid w:val="00E65407"/>
    <w:rsid w:val="00E670A5"/>
    <w:rsid w:val="00E7135C"/>
    <w:rsid w:val="00E719D0"/>
    <w:rsid w:val="00E743BD"/>
    <w:rsid w:val="00E7452D"/>
    <w:rsid w:val="00E75C83"/>
    <w:rsid w:val="00E81446"/>
    <w:rsid w:val="00E828CC"/>
    <w:rsid w:val="00E82C05"/>
    <w:rsid w:val="00E83FD7"/>
    <w:rsid w:val="00E8527C"/>
    <w:rsid w:val="00E869AE"/>
    <w:rsid w:val="00E87813"/>
    <w:rsid w:val="00E87A51"/>
    <w:rsid w:val="00E90BA1"/>
    <w:rsid w:val="00E9152A"/>
    <w:rsid w:val="00E939CA"/>
    <w:rsid w:val="00E93D6B"/>
    <w:rsid w:val="00E943A5"/>
    <w:rsid w:val="00E94A84"/>
    <w:rsid w:val="00E9782A"/>
    <w:rsid w:val="00EA0939"/>
    <w:rsid w:val="00EA1131"/>
    <w:rsid w:val="00EA1199"/>
    <w:rsid w:val="00EA178A"/>
    <w:rsid w:val="00EA1FEB"/>
    <w:rsid w:val="00EA2440"/>
    <w:rsid w:val="00EA2C7A"/>
    <w:rsid w:val="00EA3AE9"/>
    <w:rsid w:val="00EA4076"/>
    <w:rsid w:val="00EA4E3D"/>
    <w:rsid w:val="00EA5153"/>
    <w:rsid w:val="00EA593E"/>
    <w:rsid w:val="00EB08CD"/>
    <w:rsid w:val="00EB3697"/>
    <w:rsid w:val="00EB4222"/>
    <w:rsid w:val="00EB44CE"/>
    <w:rsid w:val="00EB46D2"/>
    <w:rsid w:val="00EB59CB"/>
    <w:rsid w:val="00EB5F62"/>
    <w:rsid w:val="00EB79D4"/>
    <w:rsid w:val="00EB7AAD"/>
    <w:rsid w:val="00EC0159"/>
    <w:rsid w:val="00EC02C3"/>
    <w:rsid w:val="00EC192D"/>
    <w:rsid w:val="00EC3581"/>
    <w:rsid w:val="00EC36C2"/>
    <w:rsid w:val="00EC37D5"/>
    <w:rsid w:val="00EC791A"/>
    <w:rsid w:val="00EC7BC0"/>
    <w:rsid w:val="00ED0C50"/>
    <w:rsid w:val="00ED0D5F"/>
    <w:rsid w:val="00ED136D"/>
    <w:rsid w:val="00ED180D"/>
    <w:rsid w:val="00ED20BD"/>
    <w:rsid w:val="00ED24D8"/>
    <w:rsid w:val="00ED271F"/>
    <w:rsid w:val="00ED2970"/>
    <w:rsid w:val="00ED2E44"/>
    <w:rsid w:val="00ED38FE"/>
    <w:rsid w:val="00ED4D52"/>
    <w:rsid w:val="00ED708C"/>
    <w:rsid w:val="00EE18A6"/>
    <w:rsid w:val="00EE2F4E"/>
    <w:rsid w:val="00EE341F"/>
    <w:rsid w:val="00EE37E0"/>
    <w:rsid w:val="00EE4248"/>
    <w:rsid w:val="00EE4439"/>
    <w:rsid w:val="00EE6408"/>
    <w:rsid w:val="00EE6DDD"/>
    <w:rsid w:val="00EE75C6"/>
    <w:rsid w:val="00EE7F50"/>
    <w:rsid w:val="00EF0AE6"/>
    <w:rsid w:val="00EF0DEB"/>
    <w:rsid w:val="00EF1072"/>
    <w:rsid w:val="00EF2E97"/>
    <w:rsid w:val="00EF3F45"/>
    <w:rsid w:val="00EF56A6"/>
    <w:rsid w:val="00EF600E"/>
    <w:rsid w:val="00EF645C"/>
    <w:rsid w:val="00EF682F"/>
    <w:rsid w:val="00EF713E"/>
    <w:rsid w:val="00EF7DAB"/>
    <w:rsid w:val="00F00654"/>
    <w:rsid w:val="00F036E9"/>
    <w:rsid w:val="00F039C7"/>
    <w:rsid w:val="00F03B2B"/>
    <w:rsid w:val="00F046C2"/>
    <w:rsid w:val="00F04D8E"/>
    <w:rsid w:val="00F0513C"/>
    <w:rsid w:val="00F05789"/>
    <w:rsid w:val="00F05D3D"/>
    <w:rsid w:val="00F10A02"/>
    <w:rsid w:val="00F10F84"/>
    <w:rsid w:val="00F1141D"/>
    <w:rsid w:val="00F117BA"/>
    <w:rsid w:val="00F1241D"/>
    <w:rsid w:val="00F136EB"/>
    <w:rsid w:val="00F14652"/>
    <w:rsid w:val="00F15438"/>
    <w:rsid w:val="00F15E07"/>
    <w:rsid w:val="00F16592"/>
    <w:rsid w:val="00F16C44"/>
    <w:rsid w:val="00F20370"/>
    <w:rsid w:val="00F2040C"/>
    <w:rsid w:val="00F21230"/>
    <w:rsid w:val="00F21A3C"/>
    <w:rsid w:val="00F21EB7"/>
    <w:rsid w:val="00F22D1C"/>
    <w:rsid w:val="00F231B5"/>
    <w:rsid w:val="00F25934"/>
    <w:rsid w:val="00F260F2"/>
    <w:rsid w:val="00F26BAD"/>
    <w:rsid w:val="00F30105"/>
    <w:rsid w:val="00F33045"/>
    <w:rsid w:val="00F34013"/>
    <w:rsid w:val="00F3428D"/>
    <w:rsid w:val="00F357EE"/>
    <w:rsid w:val="00F3741E"/>
    <w:rsid w:val="00F378D7"/>
    <w:rsid w:val="00F40516"/>
    <w:rsid w:val="00F4216D"/>
    <w:rsid w:val="00F428E5"/>
    <w:rsid w:val="00F44886"/>
    <w:rsid w:val="00F44E2F"/>
    <w:rsid w:val="00F4525A"/>
    <w:rsid w:val="00F45ADC"/>
    <w:rsid w:val="00F46341"/>
    <w:rsid w:val="00F474A4"/>
    <w:rsid w:val="00F501AE"/>
    <w:rsid w:val="00F50314"/>
    <w:rsid w:val="00F512A8"/>
    <w:rsid w:val="00F51E1C"/>
    <w:rsid w:val="00F53312"/>
    <w:rsid w:val="00F54139"/>
    <w:rsid w:val="00F5430A"/>
    <w:rsid w:val="00F57DE2"/>
    <w:rsid w:val="00F608E7"/>
    <w:rsid w:val="00F60A18"/>
    <w:rsid w:val="00F622F0"/>
    <w:rsid w:val="00F65627"/>
    <w:rsid w:val="00F65E45"/>
    <w:rsid w:val="00F65E46"/>
    <w:rsid w:val="00F67946"/>
    <w:rsid w:val="00F67CB6"/>
    <w:rsid w:val="00F70421"/>
    <w:rsid w:val="00F70E9C"/>
    <w:rsid w:val="00F70ED4"/>
    <w:rsid w:val="00F711B9"/>
    <w:rsid w:val="00F71369"/>
    <w:rsid w:val="00F722C4"/>
    <w:rsid w:val="00F729A4"/>
    <w:rsid w:val="00F72B7E"/>
    <w:rsid w:val="00F73228"/>
    <w:rsid w:val="00F73CE5"/>
    <w:rsid w:val="00F741A3"/>
    <w:rsid w:val="00F74441"/>
    <w:rsid w:val="00F747A0"/>
    <w:rsid w:val="00F75C8C"/>
    <w:rsid w:val="00F76A4B"/>
    <w:rsid w:val="00F77717"/>
    <w:rsid w:val="00F8042F"/>
    <w:rsid w:val="00F81AB4"/>
    <w:rsid w:val="00F81BCA"/>
    <w:rsid w:val="00F81E79"/>
    <w:rsid w:val="00F82A66"/>
    <w:rsid w:val="00F83C91"/>
    <w:rsid w:val="00F854A4"/>
    <w:rsid w:val="00F909ED"/>
    <w:rsid w:val="00F9146B"/>
    <w:rsid w:val="00F915A4"/>
    <w:rsid w:val="00F93903"/>
    <w:rsid w:val="00F95115"/>
    <w:rsid w:val="00F95C44"/>
    <w:rsid w:val="00F95D65"/>
    <w:rsid w:val="00F97686"/>
    <w:rsid w:val="00F976A2"/>
    <w:rsid w:val="00FA00C0"/>
    <w:rsid w:val="00FA0560"/>
    <w:rsid w:val="00FA2E79"/>
    <w:rsid w:val="00FA2F7E"/>
    <w:rsid w:val="00FA323D"/>
    <w:rsid w:val="00FA33EC"/>
    <w:rsid w:val="00FA519B"/>
    <w:rsid w:val="00FA548C"/>
    <w:rsid w:val="00FA7DD9"/>
    <w:rsid w:val="00FB13AE"/>
    <w:rsid w:val="00FB4091"/>
    <w:rsid w:val="00FB42A9"/>
    <w:rsid w:val="00FB475F"/>
    <w:rsid w:val="00FB6F31"/>
    <w:rsid w:val="00FC069F"/>
    <w:rsid w:val="00FC0D21"/>
    <w:rsid w:val="00FC1346"/>
    <w:rsid w:val="00FC13A2"/>
    <w:rsid w:val="00FC293F"/>
    <w:rsid w:val="00FC30B8"/>
    <w:rsid w:val="00FC3E74"/>
    <w:rsid w:val="00FC4920"/>
    <w:rsid w:val="00FC51FE"/>
    <w:rsid w:val="00FC5757"/>
    <w:rsid w:val="00FC6B93"/>
    <w:rsid w:val="00FC7AA9"/>
    <w:rsid w:val="00FD023C"/>
    <w:rsid w:val="00FD0C9F"/>
    <w:rsid w:val="00FD2E5F"/>
    <w:rsid w:val="00FD3DD3"/>
    <w:rsid w:val="00FD42AE"/>
    <w:rsid w:val="00FD4836"/>
    <w:rsid w:val="00FD49CA"/>
    <w:rsid w:val="00FD55D3"/>
    <w:rsid w:val="00FD605F"/>
    <w:rsid w:val="00FE071F"/>
    <w:rsid w:val="00FE0B65"/>
    <w:rsid w:val="00FE1467"/>
    <w:rsid w:val="00FE22C7"/>
    <w:rsid w:val="00FE237F"/>
    <w:rsid w:val="00FE2CFB"/>
    <w:rsid w:val="00FE333F"/>
    <w:rsid w:val="00FE378A"/>
    <w:rsid w:val="00FE3862"/>
    <w:rsid w:val="00FE40FE"/>
    <w:rsid w:val="00FE4E58"/>
    <w:rsid w:val="00FE6DD4"/>
    <w:rsid w:val="00FF34DE"/>
    <w:rsid w:val="00FF52CC"/>
    <w:rsid w:val="00FF5A21"/>
    <w:rsid w:val="00FF62F3"/>
    <w:rsid w:val="00FF7C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0B4929-0084-4E63-B66F-859A6849B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5BA"/>
    <w:pPr>
      <w:spacing w:after="200" w:line="276" w:lineRule="auto"/>
    </w:pPr>
    <w:rPr>
      <w:sz w:val="22"/>
      <w:szCs w:val="22"/>
      <w:lang w:eastAsia="en-US"/>
    </w:rPr>
  </w:style>
  <w:style w:type="paragraph" w:styleId="6">
    <w:name w:val="heading 6"/>
    <w:basedOn w:val="a"/>
    <w:next w:val="a"/>
    <w:link w:val="60"/>
    <w:uiPriority w:val="99"/>
    <w:qFormat/>
    <w:rsid w:val="0051698A"/>
    <w:pPr>
      <w:keepNext/>
      <w:spacing w:after="0" w:line="240" w:lineRule="auto"/>
      <w:outlineLvl w:val="5"/>
    </w:pPr>
    <w:rPr>
      <w:rFonts w:ascii="Times New Roman" w:eastAsia="Times New Roman" w:hAnsi="Times New Roman"/>
      <w:b/>
      <w:bCs/>
      <w:sz w:val="28"/>
      <w:szCs w:val="2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link w:val="6"/>
    <w:uiPriority w:val="99"/>
    <w:rsid w:val="0051698A"/>
    <w:rPr>
      <w:rFonts w:ascii="Times New Roman" w:eastAsia="Times New Roman" w:hAnsi="Times New Roman" w:cs="Times New Roman"/>
      <w:b/>
      <w:bCs/>
      <w:sz w:val="28"/>
      <w:szCs w:val="28"/>
      <w:lang w:val="en-US" w:eastAsia="ru-RU"/>
    </w:rPr>
  </w:style>
  <w:style w:type="numbering" w:customStyle="1" w:styleId="1">
    <w:name w:val="Нет списка1"/>
    <w:next w:val="a2"/>
    <w:uiPriority w:val="99"/>
    <w:semiHidden/>
    <w:unhideWhenUsed/>
    <w:rsid w:val="0051698A"/>
  </w:style>
  <w:style w:type="paragraph" w:styleId="a3">
    <w:name w:val="footer"/>
    <w:basedOn w:val="a"/>
    <w:link w:val="a4"/>
    <w:uiPriority w:val="99"/>
    <w:rsid w:val="0051698A"/>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ій колонтитул Знак"/>
    <w:link w:val="a3"/>
    <w:uiPriority w:val="99"/>
    <w:rsid w:val="0051698A"/>
    <w:rPr>
      <w:rFonts w:ascii="Times New Roman" w:eastAsia="Times New Roman" w:hAnsi="Times New Roman" w:cs="Times New Roman"/>
      <w:sz w:val="24"/>
      <w:szCs w:val="24"/>
      <w:lang w:eastAsia="ru-RU"/>
    </w:rPr>
  </w:style>
  <w:style w:type="paragraph" w:styleId="a5">
    <w:name w:val="footnote text"/>
    <w:basedOn w:val="a"/>
    <w:link w:val="a6"/>
    <w:semiHidden/>
    <w:rsid w:val="0051698A"/>
    <w:pPr>
      <w:spacing w:after="0" w:line="240" w:lineRule="auto"/>
    </w:pPr>
    <w:rPr>
      <w:rFonts w:ascii="Times New Roman" w:eastAsia="Times New Roman" w:hAnsi="Times New Roman"/>
      <w:sz w:val="20"/>
      <w:szCs w:val="20"/>
      <w:lang w:eastAsia="ru-RU"/>
    </w:rPr>
  </w:style>
  <w:style w:type="character" w:customStyle="1" w:styleId="a6">
    <w:name w:val="Текст виноски Знак"/>
    <w:link w:val="a5"/>
    <w:semiHidden/>
    <w:rsid w:val="0051698A"/>
    <w:rPr>
      <w:rFonts w:ascii="Times New Roman" w:eastAsia="Times New Roman" w:hAnsi="Times New Roman" w:cs="Times New Roman"/>
      <w:sz w:val="20"/>
      <w:szCs w:val="20"/>
      <w:lang w:eastAsia="ru-RU"/>
    </w:rPr>
  </w:style>
  <w:style w:type="character" w:styleId="a7">
    <w:name w:val="Hyperlink"/>
    <w:uiPriority w:val="99"/>
    <w:unhideWhenUsed/>
    <w:rsid w:val="0051698A"/>
    <w:rPr>
      <w:color w:val="0563C1"/>
      <w:u w:val="single"/>
    </w:rPr>
  </w:style>
  <w:style w:type="paragraph" w:styleId="a8">
    <w:name w:val="header"/>
    <w:basedOn w:val="a"/>
    <w:link w:val="a9"/>
    <w:uiPriority w:val="99"/>
    <w:unhideWhenUsed/>
    <w:rsid w:val="0051698A"/>
    <w:pPr>
      <w:tabs>
        <w:tab w:val="center" w:pos="4677"/>
        <w:tab w:val="right" w:pos="9355"/>
      </w:tabs>
      <w:spacing w:after="0" w:line="240" w:lineRule="auto"/>
    </w:pPr>
    <w:rPr>
      <w:sz w:val="20"/>
      <w:szCs w:val="20"/>
    </w:rPr>
  </w:style>
  <w:style w:type="character" w:customStyle="1" w:styleId="a9">
    <w:name w:val="Верхній колонтитул Знак"/>
    <w:link w:val="a8"/>
    <w:uiPriority w:val="99"/>
    <w:rsid w:val="0051698A"/>
    <w:rPr>
      <w:rFonts w:ascii="Calibri" w:eastAsia="Calibri" w:hAnsi="Calibri" w:cs="Times New Roman"/>
      <w:sz w:val="20"/>
      <w:szCs w:val="20"/>
    </w:rPr>
  </w:style>
  <w:style w:type="paragraph" w:styleId="aa">
    <w:name w:val="Balloon Text"/>
    <w:basedOn w:val="a"/>
    <w:link w:val="ab"/>
    <w:uiPriority w:val="99"/>
    <w:semiHidden/>
    <w:unhideWhenUsed/>
    <w:rsid w:val="0051698A"/>
    <w:pPr>
      <w:spacing w:after="0" w:line="240" w:lineRule="auto"/>
    </w:pPr>
    <w:rPr>
      <w:rFonts w:ascii="Segoe UI" w:hAnsi="Segoe UI"/>
      <w:sz w:val="18"/>
      <w:szCs w:val="18"/>
    </w:rPr>
  </w:style>
  <w:style w:type="character" w:customStyle="1" w:styleId="ab">
    <w:name w:val="Текст у виносці Знак"/>
    <w:link w:val="aa"/>
    <w:uiPriority w:val="99"/>
    <w:semiHidden/>
    <w:rsid w:val="0051698A"/>
    <w:rPr>
      <w:rFonts w:ascii="Segoe UI" w:eastAsia="Calibri" w:hAnsi="Segoe UI" w:cs="Times New Roman"/>
      <w:sz w:val="18"/>
      <w:szCs w:val="18"/>
    </w:rPr>
  </w:style>
  <w:style w:type="paragraph" w:customStyle="1" w:styleId="aaarazdel">
    <w:name w:val="aaarazdel"/>
    <w:basedOn w:val="a"/>
    <w:uiPriority w:val="99"/>
    <w:rsid w:val="0051698A"/>
    <w:pPr>
      <w:spacing w:before="100" w:beforeAutospacing="1" w:after="100" w:afterAutospacing="1" w:line="240" w:lineRule="auto"/>
    </w:pPr>
    <w:rPr>
      <w:rFonts w:ascii="Verdana" w:eastAsia="Times New Roman" w:hAnsi="Verdana"/>
      <w:sz w:val="24"/>
      <w:szCs w:val="24"/>
      <w:lang w:val="uk-UA" w:eastAsia="uk-UA"/>
    </w:rPr>
  </w:style>
  <w:style w:type="paragraph" w:styleId="ac">
    <w:name w:val="No Spacing"/>
    <w:uiPriority w:val="99"/>
    <w:qFormat/>
    <w:rsid w:val="0051698A"/>
    <w:rPr>
      <w:sz w:val="22"/>
      <w:szCs w:val="22"/>
      <w:lang w:val="uk-UA" w:eastAsia="en-US"/>
    </w:rPr>
  </w:style>
  <w:style w:type="paragraph" w:styleId="ad">
    <w:name w:val="Plain Text"/>
    <w:basedOn w:val="a"/>
    <w:link w:val="ae"/>
    <w:unhideWhenUsed/>
    <w:rsid w:val="0051698A"/>
    <w:pPr>
      <w:spacing w:after="0" w:line="240" w:lineRule="auto"/>
    </w:pPr>
    <w:rPr>
      <w:rFonts w:ascii="Courier New" w:eastAsia="Times New Roman" w:hAnsi="Courier New"/>
      <w:sz w:val="20"/>
      <w:szCs w:val="20"/>
    </w:rPr>
  </w:style>
  <w:style w:type="character" w:customStyle="1" w:styleId="ae">
    <w:name w:val="Текст Знак"/>
    <w:link w:val="ad"/>
    <w:rsid w:val="0051698A"/>
    <w:rPr>
      <w:rFonts w:ascii="Courier New" w:eastAsia="Times New Roman" w:hAnsi="Courier New" w:cs="Times New Roman"/>
      <w:sz w:val="20"/>
      <w:szCs w:val="20"/>
    </w:rPr>
  </w:style>
  <w:style w:type="paragraph" w:styleId="af">
    <w:name w:val="Body Text Indent"/>
    <w:basedOn w:val="a"/>
    <w:link w:val="af0"/>
    <w:uiPriority w:val="99"/>
    <w:rsid w:val="0051698A"/>
    <w:pPr>
      <w:spacing w:after="0" w:line="240" w:lineRule="auto"/>
      <w:ind w:firstLine="720"/>
    </w:pPr>
    <w:rPr>
      <w:rFonts w:ascii="MS Sans Serif" w:eastAsia="Times New Roman" w:hAnsi="MS Sans Serif"/>
      <w:sz w:val="28"/>
      <w:szCs w:val="28"/>
      <w:lang w:val="en-US" w:eastAsia="ru-RU"/>
    </w:rPr>
  </w:style>
  <w:style w:type="character" w:customStyle="1" w:styleId="af0">
    <w:name w:val="Основний текст з відступом Знак"/>
    <w:link w:val="af"/>
    <w:uiPriority w:val="99"/>
    <w:rsid w:val="0051698A"/>
    <w:rPr>
      <w:rFonts w:ascii="MS Sans Serif" w:eastAsia="Times New Roman" w:hAnsi="MS Sans Serif" w:cs="Times New Roman"/>
      <w:sz w:val="28"/>
      <w:szCs w:val="28"/>
      <w:lang w:val="en-US" w:eastAsia="ru-RU"/>
    </w:rPr>
  </w:style>
  <w:style w:type="character" w:styleId="af1">
    <w:name w:val="FollowedHyperlink"/>
    <w:uiPriority w:val="99"/>
    <w:semiHidden/>
    <w:unhideWhenUsed/>
    <w:rsid w:val="0051698A"/>
    <w:rPr>
      <w:color w:val="954F72"/>
      <w:u w:val="single"/>
    </w:rPr>
  </w:style>
  <w:style w:type="paragraph" w:customStyle="1" w:styleId="61">
    <w:name w:val="Знак Знак6 Знак Знак"/>
    <w:basedOn w:val="a"/>
    <w:rsid w:val="0051698A"/>
    <w:pPr>
      <w:spacing w:after="160" w:line="240" w:lineRule="exact"/>
      <w:jc w:val="both"/>
    </w:pPr>
    <w:rPr>
      <w:rFonts w:ascii="Tahoma" w:eastAsia="Times New Roman" w:hAnsi="Tahoma"/>
      <w:b/>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39679">
      <w:bodyDiv w:val="1"/>
      <w:marLeft w:val="0"/>
      <w:marRight w:val="0"/>
      <w:marTop w:val="0"/>
      <w:marBottom w:val="0"/>
      <w:divBdr>
        <w:top w:val="none" w:sz="0" w:space="0" w:color="auto"/>
        <w:left w:val="none" w:sz="0" w:space="0" w:color="auto"/>
        <w:bottom w:val="none" w:sz="0" w:space="0" w:color="auto"/>
        <w:right w:val="none" w:sz="0" w:space="0" w:color="auto"/>
      </w:divBdr>
    </w:div>
    <w:div w:id="1407848852">
      <w:bodyDiv w:val="1"/>
      <w:marLeft w:val="0"/>
      <w:marRight w:val="0"/>
      <w:marTop w:val="0"/>
      <w:marBottom w:val="0"/>
      <w:divBdr>
        <w:top w:val="none" w:sz="0" w:space="0" w:color="auto"/>
        <w:left w:val="none" w:sz="0" w:space="0" w:color="auto"/>
        <w:bottom w:val="none" w:sz="0" w:space="0" w:color="auto"/>
        <w:right w:val="none" w:sz="0" w:space="0" w:color="auto"/>
      </w:divBdr>
    </w:div>
    <w:div w:id="1869558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d.ukrstat.gov.ua" TargetMode="External"/><Relationship Id="rId13" Type="http://schemas.openxmlformats.org/officeDocument/2006/relationships/hyperlink" Target="http://ukrstat.gov.ua/metod_polog/metod_doc/2017/354/mp_ztt.zip"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ukrstat.gov.ua/klasf/nac_kls/op_ukzed_2016.htm" TargetMode="External"/><Relationship Id="rId17" Type="http://schemas.openxmlformats.org/officeDocument/2006/relationships/hyperlink" Target="http://od.ukrstat.gov.ua/stat_info/zed.htm" TargetMode="External"/><Relationship Id="rId2" Type="http://schemas.openxmlformats.org/officeDocument/2006/relationships/styles" Target="styles.xml"/><Relationship Id="rId16" Type="http://schemas.openxmlformats.org/officeDocument/2006/relationships/hyperlink" Target="mailto:gus@od.ukrstat.gov.u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hyperlink" Target="http://ukrstat.gov.ua/metod_polog/metod_doc/2015/roz_zt/roz_zt.zip" TargetMode="External"/><Relationship Id="rId10" Type="http://schemas.openxmlformats.org/officeDocument/2006/relationships/chart" Target="charts/chart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ukrstat.gov.ua/metod_polog/metod_doc/2016/240/m_sk_veit.zip"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222570532932"/>
          <c:y val="0.10426540284360317"/>
          <c:w val="0.84639498432601878"/>
          <c:h val="0.56398104265403493"/>
        </c:manualLayout>
      </c:layout>
      <c:lineChart>
        <c:grouping val="standard"/>
        <c:varyColors val="0"/>
        <c:ser>
          <c:idx val="0"/>
          <c:order val="0"/>
          <c:tx>
            <c:strRef>
              <c:f>Sheet1!$A$2</c:f>
              <c:strCache>
                <c:ptCount val="1"/>
                <c:pt idx="0">
                  <c:v>2021</c:v>
                </c:pt>
              </c:strCache>
            </c:strRef>
          </c:tx>
          <c:spPr>
            <a:ln w="12693">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3.3391127203990012E-2"/>
                  <c:y val="-8.337377688941920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4.1370832295598077E-2"/>
                  <c:y val="3.402202252638734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8429986397685691E-2"/>
                  <c:y val="-6.6239177090488197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4195004821478113E-2"/>
                  <c:y val="5.85500688055408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3.8764041356144349E-2"/>
                  <c:y val="5.62370618251652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4.9130856818080423E-2"/>
                  <c:y val="-7.984484885359749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4.9546270219872124E-2"/>
                  <c:y val="6.25538620229067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6.508930909183798E-2"/>
                  <c:y val="-5.59637410249768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6.1823795748159216E-2"/>
                  <c:y val="7.29685728613839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4.8780261956307275E-2"/>
                  <c:y val="8.142820813260104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7.6488750949927339E-2"/>
                  <c:y val="-6.4026942300790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7.4854057939688756E-3"/>
                  <c:y val="-8.59769308233445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85">
                <a:noFill/>
              </a:ln>
            </c:spPr>
            <c:txPr>
              <a:bodyPr/>
              <a:lstStyle/>
              <a:p>
                <a:pPr>
                  <a:defRPr sz="7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56.7</c:v>
                </c:pt>
                <c:pt idx="1">
                  <c:v>69.900000000000006</c:v>
                </c:pt>
                <c:pt idx="2">
                  <c:v>70.5</c:v>
                </c:pt>
                <c:pt idx="3">
                  <c:v>79.7</c:v>
                </c:pt>
                <c:pt idx="4">
                  <c:v>88.3</c:v>
                </c:pt>
                <c:pt idx="5">
                  <c:v>88.9</c:v>
                </c:pt>
                <c:pt idx="6">
                  <c:v>96.7</c:v>
                </c:pt>
                <c:pt idx="7">
                  <c:v>106.1</c:v>
                </c:pt>
                <c:pt idx="8" formatCode="0.0">
                  <c:v>113.8</c:v>
                </c:pt>
                <c:pt idx="9">
                  <c:v>119.9</c:v>
                </c:pt>
                <c:pt idx="10">
                  <c:v>122.5</c:v>
                </c:pt>
                <c:pt idx="11">
                  <c:v>124.8</c:v>
                </c:pt>
              </c:numCache>
            </c:numRef>
          </c:val>
          <c:smooth val="0"/>
        </c:ser>
        <c:ser>
          <c:idx val="2"/>
          <c:order val="1"/>
          <c:tx>
            <c:strRef>
              <c:f>Sheet1!$A$3</c:f>
              <c:strCache>
                <c:ptCount val="1"/>
                <c:pt idx="0">
                  <c:v>2022</c:v>
                </c:pt>
              </c:strCache>
            </c:strRef>
          </c:tx>
          <c:spPr>
            <a:ln w="12693">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6.6137061849262111E-3"/>
                  <c:y val="-3.0910792652735893E-2"/>
                </c:manualLayout>
              </c:layout>
              <c:tx>
                <c:rich>
                  <a:bodyPr/>
                  <a:lstStyle/>
                  <a:p>
                    <a:r>
                      <a:rPr lang="en-US"/>
                      <a:t>225,0</a:t>
                    </a:r>
                  </a:p>
                </c:rich>
              </c:tx>
              <c:dLblPos val="r"/>
              <c:showLegendKey val="0"/>
              <c:showVal val="0"/>
              <c:showCatName val="0"/>
              <c:showSerName val="0"/>
              <c:showPercent val="0"/>
              <c:showBubbleSize val="0"/>
              <c:extLst>
                <c:ext xmlns:c15="http://schemas.microsoft.com/office/drawing/2012/chart" uri="{CE6537A1-D6FC-4f65-9D91-7224C49458BB}">
                  <c15:layout/>
                </c:ext>
              </c:extLst>
            </c:dLbl>
            <c:dLbl>
              <c:idx val="1"/>
              <c:layout>
                <c:manualLayout>
                  <c:x val="4.9037807475172893E-3"/>
                  <c:y val="-4.684647101508158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1412661008615202E-2"/>
                  <c:y val="-7.540089031279793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4.8661800486617855E-2"/>
                  <c:y val="-6.6405070932689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4606650446066876E-2"/>
                  <c:y val="-6.0368246302444924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6.4882400648824182E-2"/>
                  <c:y val="-7.8478720193178433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3.6496350364963528E-2"/>
                  <c:y val="-6.6405070932689422E-2"/>
                </c:manualLayout>
              </c:layou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0551500405515001E-2"/>
                  <c:y val="-4.8294597041955926E-2"/>
                </c:manualLayout>
              </c:layout>
              <c:showLegendKey val="0"/>
              <c:showVal val="1"/>
              <c:showCatName val="0"/>
              <c:showSerName val="0"/>
              <c:showPercent val="0"/>
              <c:showBubbleSize val="0"/>
              <c:extLst>
                <c:ext xmlns:c15="http://schemas.microsoft.com/office/drawing/2012/chart" uri="{CE6537A1-D6FC-4f65-9D91-7224C49458BB}">
                  <c15:layout/>
                </c:ext>
              </c:extLst>
            </c:dLbl>
            <c:spPr>
              <a:noFill/>
              <a:ln w="25385">
                <a:noFill/>
              </a:ln>
            </c:spPr>
            <c:txPr>
              <a:bodyPr/>
              <a:lstStyle/>
              <a:p>
                <a:pPr>
                  <a:defRPr sz="700"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225</c:v>
                </c:pt>
                <c:pt idx="1">
                  <c:v>197.5</c:v>
                </c:pt>
                <c:pt idx="2">
                  <c:v>152.69999999999999</c:v>
                </c:pt>
                <c:pt idx="3">
                  <c:v>133.1</c:v>
                </c:pt>
                <c:pt idx="4">
                  <c:v>141.19999999999999</c:v>
                </c:pt>
                <c:pt idx="5">
                  <c:v>165.7</c:v>
                </c:pt>
                <c:pt idx="6">
                  <c:v>158.5</c:v>
                </c:pt>
                <c:pt idx="7">
                  <c:v>147.5</c:v>
                </c:pt>
              </c:numCache>
            </c:numRef>
          </c:val>
          <c:smooth val="0"/>
        </c:ser>
        <c:dLbls>
          <c:showLegendKey val="0"/>
          <c:showVal val="1"/>
          <c:showCatName val="0"/>
          <c:showSerName val="0"/>
          <c:showPercent val="0"/>
          <c:showBubbleSize val="0"/>
        </c:dLbls>
        <c:marker val="1"/>
        <c:smooth val="0"/>
        <c:axId val="152888896"/>
        <c:axId val="152889456"/>
      </c:lineChart>
      <c:catAx>
        <c:axId val="152888896"/>
        <c:scaling>
          <c:orientation val="minMax"/>
        </c:scaling>
        <c:delete val="0"/>
        <c:axPos val="b"/>
        <c:numFmt formatCode="General" sourceLinked="1"/>
        <c:majorTickMark val="out"/>
        <c:minorTickMark val="none"/>
        <c:tickLblPos val="nextTo"/>
        <c:spPr>
          <a:ln w="3173">
            <a:solidFill>
              <a:srgbClr val="000000"/>
            </a:solidFill>
            <a:prstDash val="solid"/>
          </a:ln>
        </c:spPr>
        <c:txPr>
          <a:bodyPr rot="-2700000" vert="horz"/>
          <a:lstStyle/>
          <a:p>
            <a:pPr>
              <a:defRPr sz="700" b="0" i="0" u="none" strike="noStrike" baseline="0">
                <a:solidFill>
                  <a:srgbClr val="000000"/>
                </a:solidFill>
                <a:latin typeface="Calibri"/>
                <a:ea typeface="Calibri"/>
                <a:cs typeface="Calibri"/>
              </a:defRPr>
            </a:pPr>
            <a:endParaRPr lang="uk-UA"/>
          </a:p>
        </c:txPr>
        <c:crossAx val="152889456"/>
        <c:crossesAt val="0"/>
        <c:auto val="1"/>
        <c:lblAlgn val="ctr"/>
        <c:lblOffset val="100"/>
        <c:tickLblSkip val="1"/>
        <c:tickMarkSkip val="1"/>
        <c:noMultiLvlLbl val="0"/>
      </c:catAx>
      <c:valAx>
        <c:axId val="152889456"/>
        <c:scaling>
          <c:orientation val="minMax"/>
          <c:max val="250"/>
          <c:min val="50"/>
        </c:scaling>
        <c:delete val="0"/>
        <c:axPos val="l"/>
        <c:numFmt formatCode="General" sourceLinked="1"/>
        <c:majorTickMark val="out"/>
        <c:minorTickMark val="none"/>
        <c:tickLblPos val="nextTo"/>
        <c:spPr>
          <a:ln w="3173">
            <a:solidFill>
              <a:srgbClr val="000000"/>
            </a:solidFill>
            <a:prstDash val="solid"/>
          </a:ln>
        </c:spPr>
        <c:txPr>
          <a:bodyPr rot="0" vert="horz"/>
          <a:lstStyle/>
          <a:p>
            <a:pPr>
              <a:defRPr sz="700" b="0" i="0" u="none" strike="noStrike" baseline="0">
                <a:solidFill>
                  <a:srgbClr val="000000"/>
                </a:solidFill>
                <a:latin typeface="Calibri"/>
                <a:ea typeface="Calibri"/>
                <a:cs typeface="Calibri"/>
              </a:defRPr>
            </a:pPr>
            <a:endParaRPr lang="uk-UA"/>
          </a:p>
        </c:txPr>
        <c:crossAx val="152888896"/>
        <c:crosses val="autoZero"/>
        <c:crossBetween val="midCat"/>
        <c:majorUnit val="50"/>
        <c:minorUnit val="1"/>
      </c:valAx>
      <c:spPr>
        <a:noFill/>
        <a:ln w="25385">
          <a:noFill/>
        </a:ln>
      </c:spPr>
    </c:plotArea>
    <c:legend>
      <c:legendPos val="b"/>
      <c:layout>
        <c:manualLayout>
          <c:xMode val="edge"/>
          <c:yMode val="edge"/>
          <c:x val="0.24764890282131863"/>
          <c:y val="0.89573459715640102"/>
          <c:w val="0.62695924764891187"/>
          <c:h val="7.582938388625593E-2"/>
        </c:manualLayout>
      </c:layout>
      <c:overlay val="0"/>
      <c:spPr>
        <a:noFill/>
        <a:ln w="3173">
          <a:solidFill>
            <a:srgbClr val="000000"/>
          </a:solidFill>
          <a:prstDash val="solid"/>
        </a:ln>
      </c:spPr>
      <c:txPr>
        <a:bodyPr/>
        <a:lstStyle/>
        <a:p>
          <a:pPr>
            <a:defRPr sz="640"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924" b="1" i="0" u="none" strike="noStrike" baseline="0">
          <a:solidFill>
            <a:srgbClr val="000000"/>
          </a:solidFill>
          <a:latin typeface="Calibri"/>
          <a:ea typeface="Calibri"/>
          <a:cs typeface="Calibri"/>
        </a:defRPr>
      </a:pPr>
      <a:endParaRPr lang="uk-UA"/>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08480925030895"/>
          <c:y val="9.0890095048798566E-2"/>
          <c:w val="0.84161490683229812"/>
          <c:h val="0.58064516129032251"/>
        </c:manualLayout>
      </c:layout>
      <c:lineChart>
        <c:grouping val="standard"/>
        <c:varyColors val="0"/>
        <c:ser>
          <c:idx val="0"/>
          <c:order val="0"/>
          <c:tx>
            <c:strRef>
              <c:f>Sheet1!$A$2</c:f>
              <c:strCache>
                <c:ptCount val="1"/>
                <c:pt idx="0">
                  <c:v>2021</c:v>
                </c:pt>
              </c:strCache>
            </c:strRef>
          </c:tx>
          <c:spPr>
            <a:ln w="12677">
              <a:solidFill>
                <a:srgbClr val="000080"/>
              </a:solidFill>
              <a:prstDash val="solid"/>
            </a:ln>
          </c:spPr>
          <c:marker>
            <c:symbol val="x"/>
            <c:size val="4"/>
            <c:spPr>
              <a:solidFill>
                <a:srgbClr val="000080"/>
              </a:solidFill>
              <a:ln>
                <a:solidFill>
                  <a:srgbClr val="000080"/>
                </a:solidFill>
                <a:prstDash val="solid"/>
              </a:ln>
            </c:spPr>
          </c:marker>
          <c:dLbls>
            <c:dLbl>
              <c:idx val="0"/>
              <c:layout>
                <c:manualLayout>
                  <c:x val="-2.3959956631274176E-2"/>
                  <c:y val="-2.785627083463641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1.4499758184582609E-2"/>
                  <c:y val="1.059320365183831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7806307431162033E-3"/>
                  <c:y val="-9.5349952394521067E-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5.5793296813411025E-2"/>
                  <c:y val="-6.4687390686932009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6.6935455829964269E-2"/>
                  <c:y val="-5.59228860734861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2853896073107323E-2"/>
                  <c:y val="-6.41800622230253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5.5738927856820782E-2"/>
                  <c:y val="5.586358192428134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1.3556520007459927E-2"/>
                  <c:y val="4.509431907948841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5.6055974737401114E-2"/>
                  <c:y val="-4.172649204374677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6.1138207784243774E-2"/>
                  <c:y val="6.137284472274152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5.3418764244192514E-2"/>
                  <c:y val="-5.300539992077340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6.4855573547569573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54">
                <a:noFill/>
              </a:ln>
            </c:spPr>
            <c:txPr>
              <a:bodyPr/>
              <a:lstStyle/>
              <a:p>
                <a:pPr>
                  <a:defRPr sz="699" b="0" i="0" u="none" strike="noStrike" baseline="0">
                    <a:solidFill>
                      <a:srgbClr val="000000"/>
                    </a:solidFill>
                    <a:latin typeface="Calibri"/>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Sheet1!$B$2:$M$2</c:f>
              <c:numCache>
                <c:formatCode>General</c:formatCode>
                <c:ptCount val="12"/>
                <c:pt idx="0">
                  <c:v>71.7</c:v>
                </c:pt>
                <c:pt idx="1">
                  <c:v>71.099999999999994</c:v>
                </c:pt>
                <c:pt idx="2">
                  <c:v>82.4</c:v>
                </c:pt>
                <c:pt idx="3">
                  <c:v>91.9</c:v>
                </c:pt>
                <c:pt idx="4">
                  <c:v>104.2</c:v>
                </c:pt>
                <c:pt idx="5">
                  <c:v>107.9</c:v>
                </c:pt>
                <c:pt idx="6">
                  <c:v>111.1</c:v>
                </c:pt>
                <c:pt idx="7">
                  <c:v>113.2</c:v>
                </c:pt>
                <c:pt idx="8">
                  <c:v>133.30000000000001</c:v>
                </c:pt>
                <c:pt idx="9">
                  <c:v>112.3</c:v>
                </c:pt>
                <c:pt idx="10">
                  <c:v>109.8</c:v>
                </c:pt>
                <c:pt idx="11">
                  <c:v>105.8</c:v>
                </c:pt>
              </c:numCache>
            </c:numRef>
          </c:val>
          <c:smooth val="0"/>
        </c:ser>
        <c:ser>
          <c:idx val="1"/>
          <c:order val="1"/>
          <c:tx>
            <c:strRef>
              <c:f>Sheet1!$A$3</c:f>
              <c:strCache>
                <c:ptCount val="1"/>
                <c:pt idx="0">
                  <c:v>2022</c:v>
                </c:pt>
              </c:strCache>
            </c:strRef>
          </c:tx>
          <c:spPr>
            <a:ln w="12677">
              <a:solidFill>
                <a:srgbClr val="FF00FF"/>
              </a:solidFill>
              <a:prstDash val="solid"/>
            </a:ln>
          </c:spPr>
          <c:marker>
            <c:symbol val="triangle"/>
            <c:size val="4"/>
            <c:spPr>
              <a:solidFill>
                <a:srgbClr val="FF00FF"/>
              </a:solidFill>
              <a:ln>
                <a:solidFill>
                  <a:srgbClr val="FF00FF"/>
                </a:solidFill>
                <a:prstDash val="solid"/>
              </a:ln>
            </c:spPr>
          </c:marker>
          <c:dLbls>
            <c:dLbl>
              <c:idx val="0"/>
              <c:layout>
                <c:manualLayout>
                  <c:x val="-1.5021953046716318E-2"/>
                  <c:y val="-3.297310695827657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1921752956312008E-2"/>
                  <c:y val="-3.4744355102125916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485590646010733E-2"/>
                  <c:y val="-7.4374352808723523E-2"/>
                </c:manualLayout>
              </c:layout>
              <c:tx>
                <c:rich>
                  <a:bodyPr/>
                  <a:lstStyle/>
                  <a:p>
                    <a:r>
                      <a:rPr lang="en-US" sz="700">
                        <a:latin typeface="+mn-lt"/>
                      </a:rPr>
                      <a:t>81,5</a:t>
                    </a:r>
                  </a:p>
                </c:rich>
              </c:tx>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3.4661474220579996E-2"/>
                  <c:y val="-5.29567519858785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4.6863195693472866E-2"/>
                  <c:y val="-5.2956751985878535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5.8685914963158711E-2"/>
                  <c:y val="-5.8841298853530434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6.2859364578624788E-2"/>
                  <c:y val="4.4521200075056812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4.2566151531339524E-2"/>
                  <c:y val="5.8840835539864668E-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1.2426905392694768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9"/>
              <c:layout>
                <c:manualLayout>
                  <c:x val="-8.1922779393205046E-3"/>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0"/>
              <c:layout>
                <c:manualLayout>
                  <c:x val="-1.3274104573697067E-2"/>
                  <c:y val="0"/>
                </c:manualLayout>
              </c:layout>
              <c:dLblPos val="r"/>
              <c:showLegendKey val="0"/>
              <c:showVal val="1"/>
              <c:showCatName val="0"/>
              <c:showSerName val="0"/>
              <c:showPercent val="0"/>
              <c:showBubbleSize val="0"/>
              <c:extLst>
                <c:ext xmlns:c15="http://schemas.microsoft.com/office/drawing/2012/chart" uri="{CE6537A1-D6FC-4f65-9D91-7224C49458BB}"/>
              </c:extLst>
            </c:dLbl>
            <c:dLbl>
              <c:idx val="11"/>
              <c:layout>
                <c:manualLayout>
                  <c:x val="-2.1461521270185517E-2"/>
                  <c:y val="0"/>
                </c:manualLayout>
              </c:layout>
              <c:dLblPos val="r"/>
              <c:showLegendKey val="0"/>
              <c:showVal val="1"/>
              <c:showCatName val="0"/>
              <c:showSerName val="0"/>
              <c:showPercent val="0"/>
              <c:showBubbleSize val="0"/>
              <c:extLst>
                <c:ext xmlns:c15="http://schemas.microsoft.com/office/drawing/2012/chart" uri="{CE6537A1-D6FC-4f65-9D91-7224C49458BB}"/>
              </c:extLst>
            </c:dLbl>
            <c:numFmt formatCode="0.0" sourceLinked="0"/>
            <c:spPr>
              <a:noFill/>
              <a:ln w="25354">
                <a:noFill/>
              </a:ln>
            </c:spPr>
            <c:txPr>
              <a:bodyPr/>
              <a:lstStyle/>
              <a:p>
                <a:pPr>
                  <a:defRPr sz="700" b="0" i="0" u="none" strike="noStrike" baseline="0">
                    <a:solidFill>
                      <a:srgbClr val="000000"/>
                    </a:solidFill>
                    <a:latin typeface="+mn-lt"/>
                    <a:ea typeface="Calibri"/>
                    <a:cs typeface="Calibri"/>
                  </a:defRPr>
                </a:pPr>
                <a:endParaRPr lang="uk-UA"/>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Sheet1!$B$1:$M$1</c:f>
              <c:strCache>
                <c:ptCount val="12"/>
                <c:pt idx="0">
                  <c:v>січень </c:v>
                </c:pt>
                <c:pt idx="1">
                  <c:v>лютий</c:v>
                </c:pt>
                <c:pt idx="2">
                  <c:v>березень</c:v>
                </c:pt>
                <c:pt idx="3">
                  <c:v>квітень</c:v>
                </c:pt>
                <c:pt idx="4">
                  <c:v>травень</c:v>
                </c:pt>
                <c:pt idx="5">
                  <c:v>червень</c:v>
                </c:pt>
                <c:pt idx="6">
                  <c:v>липень</c:v>
                </c:pt>
                <c:pt idx="7">
                  <c:v>серпень</c:v>
                </c:pt>
                <c:pt idx="8">
                  <c:v>вересень</c:v>
                </c:pt>
                <c:pt idx="9">
                  <c:v>жовтень</c:v>
                </c:pt>
                <c:pt idx="10">
                  <c:v>листопад</c:v>
                </c:pt>
                <c:pt idx="11">
                  <c:v>грудень</c:v>
                </c:pt>
              </c:strCache>
            </c:strRef>
          </c:cat>
          <c:val>
            <c:numRef>
              <c:f>Sheet1!$B$3:$M$3</c:f>
              <c:numCache>
                <c:formatCode>General</c:formatCode>
                <c:ptCount val="12"/>
                <c:pt idx="0">
                  <c:v>130.5</c:v>
                </c:pt>
                <c:pt idx="1">
                  <c:v>118.3</c:v>
                </c:pt>
                <c:pt idx="2">
                  <c:v>81.5</c:v>
                </c:pt>
                <c:pt idx="3">
                  <c:v>72.7</c:v>
                </c:pt>
                <c:pt idx="4">
                  <c:v>72.3</c:v>
                </c:pt>
                <c:pt idx="5">
                  <c:v>84</c:v>
                </c:pt>
                <c:pt idx="6">
                  <c:v>88.9</c:v>
                </c:pt>
                <c:pt idx="7">
                  <c:v>89.6</c:v>
                </c:pt>
              </c:numCache>
            </c:numRef>
          </c:val>
          <c:smooth val="0"/>
        </c:ser>
        <c:dLbls>
          <c:showLegendKey val="0"/>
          <c:showVal val="0"/>
          <c:showCatName val="0"/>
          <c:showSerName val="0"/>
          <c:showPercent val="0"/>
          <c:showBubbleSize val="0"/>
        </c:dLbls>
        <c:marker val="1"/>
        <c:smooth val="0"/>
        <c:axId val="153375360"/>
        <c:axId val="153375920"/>
      </c:lineChart>
      <c:catAx>
        <c:axId val="153375360"/>
        <c:scaling>
          <c:orientation val="minMax"/>
        </c:scaling>
        <c:delete val="0"/>
        <c:axPos val="b"/>
        <c:numFmt formatCode="General" sourceLinked="1"/>
        <c:majorTickMark val="out"/>
        <c:minorTickMark val="none"/>
        <c:tickLblPos val="nextTo"/>
        <c:spPr>
          <a:ln w="3169">
            <a:solidFill>
              <a:srgbClr val="000000"/>
            </a:solidFill>
            <a:prstDash val="solid"/>
          </a:ln>
        </c:spPr>
        <c:txPr>
          <a:bodyPr rot="-2700000" vert="horz"/>
          <a:lstStyle/>
          <a:p>
            <a:pPr>
              <a:defRPr sz="699" b="0" i="0" u="none" strike="noStrike" baseline="0">
                <a:solidFill>
                  <a:srgbClr val="000000"/>
                </a:solidFill>
                <a:latin typeface="Calibri"/>
                <a:ea typeface="Calibri"/>
                <a:cs typeface="Calibri"/>
              </a:defRPr>
            </a:pPr>
            <a:endParaRPr lang="uk-UA"/>
          </a:p>
        </c:txPr>
        <c:crossAx val="153375920"/>
        <c:crossesAt val="50"/>
        <c:auto val="1"/>
        <c:lblAlgn val="ctr"/>
        <c:lblOffset val="100"/>
        <c:tickLblSkip val="1"/>
        <c:tickMarkSkip val="1"/>
        <c:noMultiLvlLbl val="0"/>
      </c:catAx>
      <c:valAx>
        <c:axId val="153375920"/>
        <c:scaling>
          <c:orientation val="minMax"/>
          <c:max val="140"/>
          <c:min val="60"/>
        </c:scaling>
        <c:delete val="0"/>
        <c:axPos val="l"/>
        <c:numFmt formatCode="General" sourceLinked="1"/>
        <c:majorTickMark val="out"/>
        <c:minorTickMark val="none"/>
        <c:tickLblPos val="nextTo"/>
        <c:spPr>
          <a:ln w="3169">
            <a:solidFill>
              <a:srgbClr val="000000"/>
            </a:solidFill>
            <a:prstDash val="solid"/>
          </a:ln>
        </c:spPr>
        <c:txPr>
          <a:bodyPr rot="0" vert="horz"/>
          <a:lstStyle/>
          <a:p>
            <a:pPr>
              <a:defRPr sz="699" b="0" i="0" u="none" strike="noStrike" baseline="0">
                <a:solidFill>
                  <a:srgbClr val="000000"/>
                </a:solidFill>
                <a:latin typeface="Calibri"/>
                <a:ea typeface="Calibri"/>
                <a:cs typeface="Calibri"/>
              </a:defRPr>
            </a:pPr>
            <a:endParaRPr lang="uk-UA"/>
          </a:p>
        </c:txPr>
        <c:crossAx val="153375360"/>
        <c:crosses val="autoZero"/>
        <c:crossBetween val="midCat"/>
        <c:majorUnit val="20"/>
        <c:minorUnit val="4"/>
      </c:valAx>
      <c:spPr>
        <a:noFill/>
        <a:ln w="25354">
          <a:noFill/>
        </a:ln>
      </c:spPr>
    </c:plotArea>
    <c:legend>
      <c:legendPos val="b"/>
      <c:layout>
        <c:manualLayout>
          <c:xMode val="edge"/>
          <c:yMode val="edge"/>
          <c:x val="0.25155279503105588"/>
          <c:y val="0.89400921658987154"/>
          <c:w val="0.62111801242236064"/>
          <c:h val="7.3732718894009494E-2"/>
        </c:manualLayout>
      </c:layout>
      <c:overlay val="0"/>
      <c:spPr>
        <a:noFill/>
        <a:ln w="3169">
          <a:solidFill>
            <a:srgbClr val="000000"/>
          </a:solidFill>
          <a:prstDash val="solid"/>
        </a:ln>
      </c:spPr>
      <c:txPr>
        <a:bodyPr/>
        <a:lstStyle/>
        <a:p>
          <a:pPr>
            <a:defRPr sz="639" b="0" i="0" u="none" strike="noStrike" baseline="0">
              <a:solidFill>
                <a:srgbClr val="000000"/>
              </a:solidFill>
              <a:latin typeface="Calibri"/>
              <a:ea typeface="Calibri"/>
              <a:cs typeface="Calibri"/>
            </a:defRPr>
          </a:pPr>
          <a:endParaRPr lang="uk-UA"/>
        </a:p>
      </c:txPr>
    </c:legend>
    <c:plotVisOnly val="1"/>
    <c:dispBlanksAs val="gap"/>
    <c:showDLblsOverMax val="0"/>
  </c:chart>
  <c:spPr>
    <a:noFill/>
    <a:ln>
      <a:noFill/>
    </a:ln>
  </c:spPr>
  <c:txPr>
    <a:bodyPr/>
    <a:lstStyle/>
    <a:p>
      <a:pPr>
        <a:defRPr sz="649" b="0" i="0" u="none" strike="noStrike" baseline="0">
          <a:solidFill>
            <a:srgbClr val="000000"/>
          </a:solidFill>
          <a:latin typeface="Calibri"/>
          <a:ea typeface="Calibri"/>
          <a:cs typeface="Calibri"/>
        </a:defRPr>
      </a:pPr>
      <a:endParaRPr lang="uk-UA"/>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0.3915</cdr:x>
      <cdr:y>0.57241</cdr:y>
    </cdr:from>
    <cdr:to>
      <cdr:x>0.43225</cdr:x>
      <cdr:y>0.65766</cdr:y>
    </cdr:to>
    <cdr:sp macro="" textlink="">
      <cdr:nvSpPr>
        <cdr:cNvPr id="1025" name="Text Box 1"/>
        <cdr:cNvSpPr txBox="1">
          <a:spLocks xmlns:a="http://schemas.openxmlformats.org/drawingml/2006/main" noChangeArrowheads="1"/>
        </cdr:cNvSpPr>
      </cdr:nvSpPr>
      <cdr:spPr bwMode="auto">
        <a:xfrm xmlns:a="http://schemas.openxmlformats.org/drawingml/2006/main">
          <a:off x="1226103" y="1204202"/>
          <a:ext cx="127621" cy="179345"/>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8DFC1-2B80-4DFC-9A97-B3DC46FF2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5025</Words>
  <Characters>2865</Characters>
  <Application>Microsoft Office Word</Application>
  <DocSecurity>0</DocSecurity>
  <Lines>23</Lines>
  <Paragraphs>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User-Inf</dc:creator>
  <cp:lastModifiedBy>I.Pugacheva</cp:lastModifiedBy>
  <cp:revision>27</cp:revision>
  <cp:lastPrinted>2021-11-11T11:49:00Z</cp:lastPrinted>
  <dcterms:created xsi:type="dcterms:W3CDTF">2022-09-06T20:30:00Z</dcterms:created>
  <dcterms:modified xsi:type="dcterms:W3CDTF">2022-10-12T10:45:00Z</dcterms:modified>
</cp:coreProperties>
</file>